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eastAsia" w:ascii="黑体" w:eastAsia="黑体"/>
          <w:sz w:val="32"/>
          <w:szCs w:val="32"/>
          <w:lang w:val="en-US" w:eastAsia="zh-CN"/>
        </w:rPr>
      </w:pPr>
      <w:r>
        <w:rPr>
          <w:rFonts w:hint="eastAsia" w:ascii="黑体" w:eastAsia="黑体"/>
          <w:sz w:val="32"/>
          <w:szCs w:val="32"/>
          <w:lang w:val="en-US" w:eastAsia="zh-CN"/>
        </w:rPr>
        <w:t>郸城县</w:t>
      </w:r>
      <w:r>
        <w:rPr>
          <w:rFonts w:hint="eastAsia" w:ascii="黑体" w:eastAsia="黑体"/>
          <w:sz w:val="32"/>
          <w:szCs w:val="32"/>
          <w:lang w:val="zh-CN"/>
        </w:rPr>
        <w:t>商务局责任清</w:t>
      </w:r>
      <w:r>
        <w:rPr>
          <w:rFonts w:hint="eastAsia" w:ascii="黑体" w:eastAsia="黑体"/>
          <w:sz w:val="32"/>
          <w:szCs w:val="32"/>
          <w:lang w:val="en-US" w:eastAsia="zh-CN"/>
        </w:rPr>
        <w:t>单</w:t>
      </w:r>
    </w:p>
    <w:p>
      <w:pPr>
        <w:spacing w:line="560" w:lineRule="exact"/>
        <w:jc w:val="center"/>
        <w:rPr>
          <w:rFonts w:hint="eastAsia" w:ascii="黑体" w:eastAsia="黑体"/>
          <w:sz w:val="32"/>
          <w:szCs w:val="32"/>
          <w:lang w:val="zh-CN" w:eastAsia="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37</w:t>
            </w:r>
          </w:p>
        </w:tc>
        <w:tc>
          <w:tcPr>
            <w:tcW w:w="1199" w:type="dxa"/>
            <w:vMerge w:val="restart"/>
            <w:vAlign w:val="center"/>
          </w:tcPr>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5"/>
                <w:szCs w:val="15"/>
                <w:lang w:val="en-US" w:eastAsia="zh-CN"/>
              </w:rPr>
              <w:t>（1</w:t>
            </w:r>
            <w:bookmarkStart w:id="0" w:name="_GoBack"/>
            <w:bookmarkEnd w:id="0"/>
            <w:r>
              <w:rPr>
                <w:rFonts w:hint="eastAsia" w:ascii="宋体" w:hAnsi="宋体" w:eastAsia="宋体" w:cs="宋体"/>
                <w:spacing w:val="-20"/>
                <w:sz w:val="15"/>
                <w:szCs w:val="15"/>
                <w:lang w:val="en-US" w:eastAsia="zh-CN"/>
              </w:rPr>
              <w:t>）设置最低消费；（2）开展促销活动，未明示促销相关内容及限制性条件的。在促销活动开始前做好原材料储备及服务准备工作，未依照承诺履行相关义务；促销活动期间，餐饮经营者故意拖延提供相关商品或服务，以任何形式降低活动商品质量或服务水平的；（3）未建立健全顾客投诉制度，未明确具体部门或人员受理、处理消费者投诉。投诉的受理、转交以及处理结果未通知投诉者的；（4）未建立健全突发事件应急预案、应对机</w:t>
            </w:r>
          </w:p>
        </w:tc>
        <w:tc>
          <w:tcPr>
            <w:tcW w:w="3135" w:type="dxa"/>
            <w:vMerge w:val="restart"/>
            <w:vAlign w:val="center"/>
          </w:tcPr>
          <w:p>
            <w:pPr>
              <w:autoSpaceDE w:val="0"/>
              <w:autoSpaceDN w:val="0"/>
              <w:spacing w:line="240" w:lineRule="exact"/>
              <w:rPr>
                <w:rFonts w:hint="eastAsia" w:ascii="宋体" w:hAnsi="宋体"/>
                <w:sz w:val="18"/>
                <w:szCs w:val="18"/>
                <w:lang w:val="en-US" w:eastAsia="zh-CN"/>
              </w:rPr>
            </w:pPr>
            <w:r>
              <w:rPr>
                <w:rFonts w:hint="eastAsia" w:ascii="宋体" w:hAnsi="宋体"/>
                <w:sz w:val="18"/>
                <w:szCs w:val="18"/>
              </w:rPr>
              <w:t xml:space="preserve"> </w:t>
            </w:r>
            <w:r>
              <w:rPr>
                <w:rFonts w:hint="eastAsia" w:ascii="宋体" w:hAnsi="宋体"/>
                <w:sz w:val="18"/>
                <w:szCs w:val="18"/>
                <w:lang w:val="en-US" w:eastAsia="zh-CN"/>
              </w:rPr>
              <w:t>商务部《餐饮业经营管理办法（试用）》第二十一条。</w:t>
            </w:r>
          </w:p>
          <w:p>
            <w:pPr>
              <w:autoSpaceDE w:val="0"/>
              <w:autoSpaceDN w:val="0"/>
              <w:spacing w:line="240" w:lineRule="exact"/>
              <w:rPr>
                <w:rFonts w:hint="eastAsia" w:ascii="仿宋_GB2312" w:hAnsi="黑体" w:eastAsia="仿宋_GB2312" w:cs="宋体"/>
                <w:spacing w:val="-20"/>
                <w:sz w:val="22"/>
              </w:rPr>
            </w:pPr>
            <w:r>
              <w:rPr>
                <w:rFonts w:hint="eastAsia" w:ascii="宋体" w:hAnsi="宋体"/>
                <w:sz w:val="18"/>
                <w:szCs w:val="18"/>
                <w:lang w:val="en-US" w:eastAsia="zh-CN"/>
              </w:rPr>
              <w:t>行政处罚：责令限期改正，其中有违法所得的，可处违法所得3倍以下罚款，但最高不超过3万元；没有违法所得的，可处1万元以下罚款。</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en-US" w:eastAsia="zh-CN"/>
        </w:rPr>
      </w:pPr>
      <w:r>
        <w:rPr>
          <w:rFonts w:hint="eastAsia" w:ascii="黑体" w:eastAsia="黑体"/>
          <w:sz w:val="32"/>
          <w:szCs w:val="32"/>
          <w:lang w:val="en-US" w:eastAsia="zh-CN"/>
        </w:rPr>
        <w:t>郸城县</w:t>
      </w:r>
      <w:r>
        <w:rPr>
          <w:rFonts w:hint="eastAsia" w:ascii="黑体" w:eastAsia="黑体"/>
          <w:sz w:val="32"/>
          <w:szCs w:val="32"/>
          <w:lang w:val="zh-CN"/>
        </w:rPr>
        <w:t>商务局责任清</w:t>
      </w:r>
      <w:r>
        <w:rPr>
          <w:rFonts w:hint="eastAsia" w:ascii="黑体" w:eastAsia="黑体"/>
          <w:sz w:val="32"/>
          <w:szCs w:val="32"/>
          <w:lang w:val="en-US" w:eastAsia="zh-CN"/>
        </w:rPr>
        <w:t>单</w:t>
      </w:r>
    </w:p>
    <w:p>
      <w:pPr>
        <w:spacing w:line="560" w:lineRule="exact"/>
        <w:jc w:val="center"/>
        <w:rPr>
          <w:rFonts w:hint="eastAsia" w:ascii="黑体" w:eastAsia="黑体"/>
          <w:sz w:val="32"/>
          <w:szCs w:val="32"/>
          <w:lang w:val="zh-CN" w:eastAsia="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37</w:t>
            </w:r>
          </w:p>
        </w:tc>
        <w:tc>
          <w:tcPr>
            <w:tcW w:w="1199" w:type="dxa"/>
            <w:vMerge w:val="restart"/>
            <w:vAlign w:val="center"/>
          </w:tcPr>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5"/>
                <w:szCs w:val="15"/>
                <w:lang w:val="en-US" w:eastAsia="zh-CN"/>
              </w:rPr>
              <w:t>制，未明确职责分工，落实责任。发生突发事件时，未立即启动应急处理工作程序并及时向政府有关部门报告事件情况及处理结果；（5）餐饮经营者及其负责人、高层管理人员未按照商务主管部门要求提供与餐饮经营相关的信用信息的；（6）未按照商务主管部门要求、及时准确报送相关信息的；（7）未建立节约消费提醒提示制度，未在醒目位置张贴节约标识，贯彻节约用餐、文明用餐标准的。</w:t>
            </w: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sz w:val="18"/>
                <w:szCs w:val="18"/>
              </w:rPr>
              <w:t xml:space="preserve"> </w:t>
            </w:r>
            <w:r>
              <w:rPr>
                <w:rFonts w:hint="eastAsia" w:ascii="宋体" w:hAnsi="宋体" w:eastAsia="宋体" w:cs="宋体"/>
                <w:sz w:val="18"/>
                <w:szCs w:val="18"/>
                <w:lang w:val="en-US" w:eastAsia="zh-CN"/>
              </w:rPr>
              <w:t>商务部《餐饮业经营管理办法（试用）》第二十一条。</w:t>
            </w:r>
          </w:p>
          <w:p>
            <w:pPr>
              <w:autoSpaceDE w:val="0"/>
              <w:autoSpaceDN w:val="0"/>
              <w:spacing w:line="240" w:lineRule="exact"/>
              <w:rPr>
                <w:rFonts w:hint="eastAsia" w:ascii="仿宋_GB2312" w:hAnsi="黑体" w:eastAsia="仿宋_GB2312" w:cs="宋体"/>
                <w:spacing w:val="-20"/>
                <w:sz w:val="22"/>
              </w:rPr>
            </w:pPr>
            <w:r>
              <w:rPr>
                <w:rFonts w:hint="eastAsia" w:ascii="宋体" w:hAnsi="宋体" w:eastAsia="宋体" w:cs="宋体"/>
                <w:sz w:val="18"/>
                <w:szCs w:val="18"/>
                <w:lang w:val="en-US" w:eastAsia="zh-CN"/>
              </w:rPr>
              <w:t>行政处罚：责令限期改正，其中有违法所得的，可处违法所得3倍以下罚款，但最高不超过3万元；没有违法所得的，可处1万元以下罚款。</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en-US" w:eastAsia="zh-CN"/>
        </w:rPr>
      </w:pPr>
      <w:r>
        <w:rPr>
          <w:rFonts w:hint="eastAsia" w:ascii="黑体" w:eastAsia="黑体"/>
          <w:sz w:val="32"/>
          <w:szCs w:val="32"/>
          <w:lang w:val="en-US" w:eastAsia="zh-CN"/>
        </w:rPr>
        <w:t>郸城县</w:t>
      </w:r>
      <w:r>
        <w:rPr>
          <w:rFonts w:hint="eastAsia" w:ascii="黑体" w:eastAsia="黑体"/>
          <w:sz w:val="32"/>
          <w:szCs w:val="32"/>
          <w:lang w:val="zh-CN"/>
        </w:rPr>
        <w:t>商务局责任清</w:t>
      </w:r>
      <w:r>
        <w:rPr>
          <w:rFonts w:hint="eastAsia" w:ascii="黑体" w:eastAsia="黑体"/>
          <w:sz w:val="32"/>
          <w:szCs w:val="32"/>
          <w:lang w:val="en-US" w:eastAsia="zh-CN"/>
        </w:rPr>
        <w:t>单</w:t>
      </w:r>
    </w:p>
    <w:p>
      <w:pPr>
        <w:spacing w:line="560" w:lineRule="exact"/>
        <w:jc w:val="center"/>
        <w:rPr>
          <w:rFonts w:hint="eastAsia" w:ascii="黑体" w:eastAsia="黑体"/>
          <w:sz w:val="32"/>
          <w:szCs w:val="32"/>
          <w:lang w:val="zh-CN" w:eastAsia="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38</w:t>
            </w:r>
          </w:p>
        </w:tc>
        <w:tc>
          <w:tcPr>
            <w:tcW w:w="1199" w:type="dxa"/>
            <w:vMerge w:val="restart"/>
            <w:vAlign w:val="center"/>
          </w:tcPr>
          <w:p>
            <w:pPr>
              <w:numPr>
                <w:ilvl w:val="0"/>
                <w:numId w:val="1"/>
              </w:numPr>
              <w:autoSpaceDE w:val="0"/>
              <w:autoSpaceDN w:val="0"/>
              <w:spacing w:line="240" w:lineRule="exact"/>
              <w:rPr>
                <w:rFonts w:hint="eastAsia" w:ascii="宋体" w:hAnsi="宋体" w:eastAsia="宋体" w:cs="宋体"/>
                <w:spacing w:val="-20"/>
                <w:sz w:val="15"/>
                <w:szCs w:val="15"/>
                <w:lang w:val="en-US" w:eastAsia="zh-CN"/>
              </w:rPr>
            </w:pPr>
            <w:r>
              <w:rPr>
                <w:rFonts w:hint="eastAsia" w:ascii="宋体" w:hAnsi="宋体" w:eastAsia="宋体" w:cs="宋体"/>
                <w:spacing w:val="-20"/>
                <w:sz w:val="15"/>
                <w:szCs w:val="15"/>
                <w:lang w:val="en-US" w:eastAsia="zh-CN"/>
              </w:rPr>
              <w:t>未在经营场所的显著位置明示促销内容，促销内容未包括促销原因、促销方式、促销规则、促销期限、促销商品的范围，以及相关限制性条件等的；</w:t>
            </w:r>
          </w:p>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5"/>
                <w:szCs w:val="15"/>
                <w:lang w:val="en-US" w:eastAsia="zh-CN"/>
              </w:rPr>
              <w:t>（2）没有明示不参加促销活动柜台或商品，并宣称全场促销的；明示例外商品、含有限制性条件、附加条件的促销规则时，其文字、图片不醒目明确的；（3）降低促销商品（包括有奖销售的奖品、赠品）质量和售后服务水平，将质量不合格的物品作</w:t>
            </w:r>
          </w:p>
        </w:tc>
        <w:tc>
          <w:tcPr>
            <w:tcW w:w="3135" w:type="dxa"/>
            <w:vMerge w:val="restart"/>
            <w:vAlign w:val="center"/>
          </w:tcPr>
          <w:p>
            <w:pPr>
              <w:autoSpaceDE w:val="0"/>
              <w:autoSpaceDN w:val="0"/>
              <w:spacing w:line="240" w:lineRule="exact"/>
              <w:rPr>
                <w:rFonts w:hint="eastAsia" w:ascii="仿宋_GB2312" w:hAnsi="黑体" w:eastAsia="仿宋_GB2312" w:cs="宋体"/>
                <w:spacing w:val="-20"/>
                <w:sz w:val="22"/>
              </w:rPr>
            </w:pPr>
            <w:r>
              <w:rPr>
                <w:rFonts w:hint="eastAsia" w:ascii="宋体" w:hAnsi="宋体" w:eastAsia="宋体" w:cs="宋体"/>
                <w:sz w:val="18"/>
                <w:szCs w:val="18"/>
                <w:lang w:val="en-US" w:eastAsia="zh-CN"/>
              </w:rPr>
              <w:t>商务部、发展改革委、公安部、税务总局、工商总局《零售商促销行为管理办法》第二十一条、第二十三条。行政处罚：责令改正，有违法所得的，可处违法所得三倍以下罚款，单最高不超过三万元；没有违法所得的，可处一万元以下罚款，并可予以公告。</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en-US" w:eastAsia="zh-CN"/>
        </w:rPr>
      </w:pPr>
      <w:r>
        <w:rPr>
          <w:rFonts w:hint="eastAsia" w:ascii="黑体" w:eastAsia="黑体"/>
          <w:sz w:val="32"/>
          <w:szCs w:val="32"/>
          <w:lang w:val="en-US" w:eastAsia="zh-CN"/>
        </w:rPr>
        <w:t>郸城县</w:t>
      </w:r>
      <w:r>
        <w:rPr>
          <w:rFonts w:hint="eastAsia" w:ascii="黑体" w:eastAsia="黑体"/>
          <w:sz w:val="32"/>
          <w:szCs w:val="32"/>
          <w:lang w:val="zh-CN"/>
        </w:rPr>
        <w:t>商务局责任清</w:t>
      </w:r>
      <w:r>
        <w:rPr>
          <w:rFonts w:hint="eastAsia" w:ascii="黑体" w:eastAsia="黑体"/>
          <w:sz w:val="32"/>
          <w:szCs w:val="32"/>
          <w:lang w:val="en-US" w:eastAsia="zh-CN"/>
        </w:rPr>
        <w:t>单</w:t>
      </w:r>
    </w:p>
    <w:p>
      <w:pPr>
        <w:spacing w:line="560" w:lineRule="exact"/>
        <w:jc w:val="center"/>
        <w:rPr>
          <w:rFonts w:hint="eastAsia" w:ascii="黑体" w:eastAsia="黑体"/>
          <w:sz w:val="32"/>
          <w:szCs w:val="32"/>
          <w:lang w:val="zh-CN" w:eastAsia="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38</w:t>
            </w:r>
          </w:p>
        </w:tc>
        <w:tc>
          <w:tcPr>
            <w:tcW w:w="1199" w:type="dxa"/>
            <w:vMerge w:val="restart"/>
            <w:vAlign w:val="center"/>
          </w:tcPr>
          <w:p>
            <w:pPr>
              <w:autoSpaceDE w:val="0"/>
              <w:autoSpaceDN w:val="0"/>
              <w:spacing w:line="240" w:lineRule="exact"/>
              <w:rPr>
                <w:rFonts w:hint="eastAsia" w:ascii="宋体" w:hAnsi="宋体" w:eastAsia="宋体" w:cs="宋体"/>
                <w:spacing w:val="-20"/>
                <w:sz w:val="15"/>
                <w:szCs w:val="15"/>
                <w:lang w:val="en-US" w:eastAsia="zh-CN"/>
              </w:rPr>
            </w:pPr>
            <w:r>
              <w:rPr>
                <w:rFonts w:hint="eastAsia" w:ascii="宋体" w:hAnsi="宋体" w:eastAsia="宋体" w:cs="宋体"/>
                <w:spacing w:val="-20"/>
                <w:sz w:val="15"/>
                <w:szCs w:val="15"/>
                <w:lang w:val="en-US" w:eastAsia="zh-CN"/>
              </w:rPr>
              <w:t>为奖品、赠品的；（4）未展示奖品、赠品，以虚构的奖品、赠品价值额或含糊的语言文字误导消费者的；（5）没有保证商品在促销时段内充足供应的；未明示促销商品具体数量的；连锁企业所属多家店铺同时开展限量促销活动，未明示各店铺促销商品具体数量的；限量促销的促销商品售完后未即时明示的；（6）开展积分优惠卡促销活动，事先未明示获得积分方式、积分有效时间、可以获得的购</w:t>
            </w:r>
          </w:p>
          <w:p>
            <w:pPr>
              <w:numPr>
                <w:ilvl w:val="0"/>
                <w:numId w:val="0"/>
              </w:numPr>
              <w:autoSpaceDE w:val="0"/>
              <w:autoSpaceDN w:val="0"/>
              <w:spacing w:line="240" w:lineRule="exact"/>
              <w:rPr>
                <w:rFonts w:hint="eastAsia" w:ascii="仿宋_GB2312" w:hAnsi="黑体" w:eastAsia="仿宋_GB2312" w:cs="宋体"/>
                <w:spacing w:val="-20"/>
                <w:sz w:val="15"/>
                <w:szCs w:val="15"/>
                <w:lang w:val="en-US" w:eastAsia="zh-CN"/>
              </w:rPr>
            </w:pPr>
          </w:p>
          <w:p>
            <w:pPr>
              <w:autoSpaceDE w:val="0"/>
              <w:autoSpaceDN w:val="0"/>
              <w:spacing w:line="240" w:lineRule="exact"/>
              <w:rPr>
                <w:rFonts w:hint="eastAsia" w:ascii="仿宋_GB2312" w:hAnsi="黑体" w:eastAsia="仿宋_GB2312" w:cs="宋体"/>
                <w:spacing w:val="-20"/>
                <w:sz w:val="22"/>
                <w:lang w:val="en-US" w:eastAsia="zh-CN"/>
              </w:rPr>
            </w:pP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sz w:val="18"/>
                <w:szCs w:val="18"/>
              </w:rPr>
              <w:t xml:space="preserve"> </w:t>
            </w:r>
            <w:r>
              <w:rPr>
                <w:rFonts w:hint="eastAsia" w:ascii="宋体" w:hAnsi="宋体" w:eastAsia="宋体" w:cs="宋体"/>
                <w:sz w:val="18"/>
                <w:szCs w:val="18"/>
                <w:lang w:val="en-US" w:eastAsia="zh-CN"/>
              </w:rPr>
              <w:t>商务部、发展改革委、公安部、税务总局、工商总局《零售商促销行为管理办法》第二十一条、第二十三条。</w:t>
            </w:r>
          </w:p>
          <w:p>
            <w:pPr>
              <w:autoSpaceDE w:val="0"/>
              <w:autoSpaceDN w:val="0"/>
              <w:spacing w:line="240" w:lineRule="exact"/>
              <w:rPr>
                <w:rFonts w:hint="eastAsia" w:ascii="仿宋_GB2312" w:hAnsi="黑体" w:eastAsia="仿宋_GB2312" w:cs="宋体"/>
                <w:spacing w:val="-20"/>
                <w:sz w:val="22"/>
              </w:rPr>
            </w:pPr>
            <w:r>
              <w:rPr>
                <w:rFonts w:hint="eastAsia" w:ascii="宋体" w:hAnsi="宋体" w:eastAsia="宋体" w:cs="宋体"/>
                <w:sz w:val="18"/>
                <w:szCs w:val="18"/>
                <w:lang w:val="en-US" w:eastAsia="zh-CN"/>
              </w:rPr>
              <w:t>行政处罚：责令改正，有违法所得的，可处违法所得三倍以下罚款，单最高不超过三万元；没有违法所得的，可处一万元以下罚款，并可予以公告。</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en-US" w:eastAsia="zh-CN"/>
        </w:rPr>
      </w:pPr>
      <w:r>
        <w:rPr>
          <w:rFonts w:hint="eastAsia" w:ascii="黑体" w:eastAsia="黑体"/>
          <w:sz w:val="32"/>
          <w:szCs w:val="32"/>
          <w:lang w:val="en-US" w:eastAsia="zh-CN"/>
        </w:rPr>
        <w:t>郸城县</w:t>
      </w:r>
      <w:r>
        <w:rPr>
          <w:rFonts w:hint="eastAsia" w:ascii="黑体" w:eastAsia="黑体"/>
          <w:sz w:val="32"/>
          <w:szCs w:val="32"/>
          <w:lang w:val="zh-CN"/>
        </w:rPr>
        <w:t>商务局责任清</w:t>
      </w:r>
      <w:r>
        <w:rPr>
          <w:rFonts w:hint="eastAsia" w:ascii="黑体" w:eastAsia="黑体"/>
          <w:sz w:val="32"/>
          <w:szCs w:val="32"/>
          <w:lang w:val="en-US" w:eastAsia="zh-CN"/>
        </w:rPr>
        <w:t>单</w:t>
      </w:r>
    </w:p>
    <w:p>
      <w:pPr>
        <w:spacing w:line="560" w:lineRule="exact"/>
        <w:jc w:val="center"/>
        <w:rPr>
          <w:rFonts w:hint="eastAsia" w:ascii="黑体" w:eastAsia="黑体"/>
          <w:sz w:val="32"/>
          <w:szCs w:val="32"/>
          <w:lang w:val="zh-CN" w:eastAsia="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38</w:t>
            </w:r>
          </w:p>
        </w:tc>
        <w:tc>
          <w:tcPr>
            <w:tcW w:w="1199" w:type="dxa"/>
            <w:vMerge w:val="restart"/>
            <w:vAlign w:val="center"/>
          </w:tcPr>
          <w:p>
            <w:pPr>
              <w:autoSpaceDE w:val="0"/>
              <w:autoSpaceDN w:val="0"/>
              <w:spacing w:line="240" w:lineRule="exact"/>
              <w:rPr>
                <w:rFonts w:hint="eastAsia" w:ascii="宋体" w:hAnsi="宋体" w:eastAsia="宋体" w:cs="宋体"/>
                <w:spacing w:val="-20"/>
                <w:sz w:val="15"/>
                <w:szCs w:val="15"/>
                <w:lang w:val="en-US" w:eastAsia="zh-CN"/>
              </w:rPr>
            </w:pPr>
            <w:r>
              <w:rPr>
                <w:rFonts w:hint="eastAsia" w:ascii="宋体" w:hAnsi="宋体" w:eastAsia="宋体" w:cs="宋体"/>
                <w:spacing w:val="-20"/>
                <w:sz w:val="15"/>
                <w:szCs w:val="15"/>
                <w:lang w:val="en-US" w:eastAsia="zh-CN"/>
              </w:rPr>
              <w:t>物优惠等相关内容的。消费者办理积分优惠卡后，零售商在变更已明示前款事项的；（7）以虚构清仓、拆迁、停业、歇业、转行等事由开展促销活动的；（8）以促销为由拒绝退货或者为消费者换货设置的障碍的；（9）单店营业面积在3000平方米以上的零售商促销活动，未在促销活动结束后十五日内，将其明示的促销内容，想经营场所所在县级以上（含县级）商务主管部门备案的</w:t>
            </w: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sz w:val="18"/>
                <w:szCs w:val="18"/>
              </w:rPr>
              <w:t xml:space="preserve"> </w:t>
            </w:r>
            <w:r>
              <w:rPr>
                <w:rFonts w:hint="eastAsia" w:ascii="宋体" w:hAnsi="宋体" w:eastAsia="宋体" w:cs="宋体"/>
                <w:sz w:val="18"/>
                <w:szCs w:val="18"/>
                <w:lang w:val="en-US" w:eastAsia="zh-CN"/>
              </w:rPr>
              <w:t>商务部、发展改革委、公安部、税务总局、工商总局《零售商促销行为管理办法》第二十一条、第二十三条。</w:t>
            </w:r>
          </w:p>
          <w:p>
            <w:pPr>
              <w:autoSpaceDE w:val="0"/>
              <w:autoSpaceDN w:val="0"/>
              <w:spacing w:line="240" w:lineRule="exact"/>
              <w:rPr>
                <w:rFonts w:hint="eastAsia" w:ascii="仿宋_GB2312" w:hAnsi="黑体" w:eastAsia="仿宋_GB2312" w:cs="宋体"/>
                <w:spacing w:val="-20"/>
                <w:sz w:val="22"/>
              </w:rPr>
            </w:pPr>
            <w:r>
              <w:rPr>
                <w:rFonts w:hint="eastAsia" w:ascii="宋体" w:hAnsi="宋体" w:eastAsia="宋体" w:cs="宋体"/>
                <w:sz w:val="18"/>
                <w:szCs w:val="18"/>
                <w:lang w:val="en-US" w:eastAsia="zh-CN"/>
              </w:rPr>
              <w:t>行政处罚：责令改正，有违法所得的，可处违法所得三倍以下罚款，单最高不超过三万元；没有违法所得的，可处一万元以下罚款，并可予以公告。</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商贸服务管理股、商务稽查大队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en-US" w:eastAsia="zh-CN"/>
        </w:rPr>
      </w:pPr>
      <w:r>
        <w:rPr>
          <w:rFonts w:hint="eastAsia" w:ascii="黑体" w:eastAsia="黑体"/>
          <w:sz w:val="32"/>
          <w:szCs w:val="32"/>
          <w:lang w:val="en-US" w:eastAsia="zh-CN"/>
        </w:rPr>
        <w:t>郸城县</w:t>
      </w:r>
      <w:r>
        <w:rPr>
          <w:rFonts w:hint="eastAsia" w:ascii="黑体" w:eastAsia="黑体"/>
          <w:sz w:val="32"/>
          <w:szCs w:val="32"/>
          <w:lang w:val="zh-CN"/>
        </w:rPr>
        <w:t>商务局责任清</w:t>
      </w:r>
      <w:r>
        <w:rPr>
          <w:rFonts w:hint="eastAsia" w:ascii="黑体" w:eastAsia="黑体"/>
          <w:sz w:val="32"/>
          <w:szCs w:val="32"/>
          <w:lang w:val="en-US" w:eastAsia="zh-CN"/>
        </w:rPr>
        <w:t>单</w:t>
      </w:r>
    </w:p>
    <w:p>
      <w:pPr>
        <w:spacing w:line="560" w:lineRule="exact"/>
        <w:jc w:val="center"/>
        <w:rPr>
          <w:rFonts w:hint="eastAsia" w:ascii="黑体" w:eastAsia="黑体"/>
          <w:sz w:val="32"/>
          <w:szCs w:val="32"/>
          <w:lang w:val="zh-CN" w:eastAsia="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39</w:t>
            </w:r>
          </w:p>
        </w:tc>
        <w:tc>
          <w:tcPr>
            <w:tcW w:w="1199" w:type="dxa"/>
            <w:vMerge w:val="restart"/>
            <w:vAlign w:val="center"/>
          </w:tcPr>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（1）拟从事报废汽车回收业务的，未向省级商务主管部门提出申请并获得批准的；（2）设立的报废汽车回收企业，不符合商务部门关于汽车回收行业统一、合理布局要求的。</w:t>
            </w:r>
          </w:p>
        </w:tc>
        <w:tc>
          <w:tcPr>
            <w:tcW w:w="3135" w:type="dxa"/>
            <w:vMerge w:val="restart"/>
            <w:vAlign w:val="center"/>
          </w:tcPr>
          <w:p>
            <w:pPr>
              <w:autoSpaceDE w:val="0"/>
              <w:autoSpaceDN w:val="0"/>
              <w:spacing w:line="240" w:lineRule="exact"/>
              <w:rPr>
                <w:rFonts w:hint="eastAsia" w:ascii="仿宋_GB2312" w:hAnsi="黑体" w:eastAsia="仿宋_GB2312" w:cs="宋体"/>
                <w:spacing w:val="-20"/>
                <w:sz w:val="22"/>
              </w:rPr>
            </w:pPr>
            <w:r>
              <w:rPr>
                <w:rFonts w:hint="eastAsia" w:ascii="宋体" w:hAnsi="宋体"/>
                <w:sz w:val="18"/>
                <w:szCs w:val="18"/>
              </w:rPr>
              <w:t xml:space="preserve">  </w:t>
            </w:r>
            <w:r>
              <w:rPr>
                <w:rFonts w:hint="eastAsia" w:ascii="宋体" w:hAnsi="宋体" w:eastAsia="宋体" w:cs="宋体"/>
                <w:sz w:val="18"/>
                <w:szCs w:val="18"/>
                <w:lang w:val="en-US" w:eastAsia="zh-CN"/>
              </w:rPr>
              <w:t>国务院《报废汽车回收管理办法》第六条、第七条第八款、第八条、第七条、第十六条。</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en-US" w:eastAsia="zh-CN"/>
        </w:rPr>
      </w:pPr>
      <w:r>
        <w:rPr>
          <w:rFonts w:hint="eastAsia" w:ascii="黑体" w:eastAsia="黑体"/>
          <w:sz w:val="32"/>
          <w:szCs w:val="32"/>
          <w:lang w:val="en-US" w:eastAsia="zh-CN"/>
        </w:rPr>
        <w:t>郸城县</w:t>
      </w:r>
      <w:r>
        <w:rPr>
          <w:rFonts w:hint="eastAsia" w:ascii="黑体" w:eastAsia="黑体"/>
          <w:sz w:val="32"/>
          <w:szCs w:val="32"/>
          <w:lang w:val="zh-CN"/>
        </w:rPr>
        <w:t>商务局责任清</w:t>
      </w:r>
      <w:r>
        <w:rPr>
          <w:rFonts w:hint="eastAsia" w:ascii="黑体" w:eastAsia="黑体"/>
          <w:sz w:val="32"/>
          <w:szCs w:val="32"/>
          <w:lang w:val="en-US" w:eastAsia="zh-CN"/>
        </w:rPr>
        <w:t>单</w:t>
      </w:r>
    </w:p>
    <w:p>
      <w:pPr>
        <w:spacing w:line="560" w:lineRule="exact"/>
        <w:jc w:val="center"/>
        <w:rPr>
          <w:rFonts w:hint="eastAsia" w:ascii="黑体" w:eastAsia="黑体"/>
          <w:sz w:val="32"/>
          <w:szCs w:val="32"/>
          <w:lang w:val="zh-CN" w:eastAsia="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40</w:t>
            </w:r>
          </w:p>
        </w:tc>
        <w:tc>
          <w:tcPr>
            <w:tcW w:w="1199" w:type="dxa"/>
            <w:vMerge w:val="restart"/>
            <w:vAlign w:val="center"/>
          </w:tcPr>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1）注册资本不低于50万元人民币，依照税务法规定为一般纳税人；（2）拆解场地面积不低于5000平方米；（3）具备必要的拆解设备和消防设施；（4）年回收拆解不低于500辆；（5）正式从业人员不少于20人，其中专业技术人员不少于5人；（6）没有出售报废汽车、报废“五大总成”、拼装车等违法经营行为记录。（7）符合国家规定的环境保护标准。</w:t>
            </w:r>
          </w:p>
        </w:tc>
        <w:tc>
          <w:tcPr>
            <w:tcW w:w="3135" w:type="dxa"/>
            <w:vMerge w:val="restart"/>
            <w:vAlign w:val="center"/>
          </w:tcPr>
          <w:p>
            <w:pPr>
              <w:autoSpaceDE w:val="0"/>
              <w:autoSpaceDN w:val="0"/>
              <w:spacing w:line="240" w:lineRule="exact"/>
              <w:rPr>
                <w:rFonts w:hint="eastAsia" w:ascii="仿宋_GB2312" w:hAnsi="黑体" w:eastAsia="仿宋_GB2312" w:cs="宋体"/>
                <w:spacing w:val="-20"/>
                <w:sz w:val="22"/>
              </w:rPr>
            </w:pPr>
            <w:r>
              <w:rPr>
                <w:rFonts w:hint="eastAsia" w:ascii="宋体" w:hAnsi="宋体"/>
                <w:sz w:val="18"/>
                <w:szCs w:val="18"/>
              </w:rPr>
              <w:t xml:space="preserve"> </w:t>
            </w:r>
            <w:r>
              <w:rPr>
                <w:rFonts w:hint="eastAsia" w:ascii="宋体" w:hAnsi="宋体" w:eastAsia="宋体" w:cs="宋体"/>
                <w:sz w:val="18"/>
                <w:szCs w:val="18"/>
                <w:lang w:val="en-US" w:eastAsia="zh-CN"/>
              </w:rPr>
              <w:t>国务院《报废汽车回收管理办法》第十六条。</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市场秩序股商务稽查</w:t>
            </w:r>
          </w:p>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rPr>
          <w:rFonts w:hint="eastAsia" w:ascii="黑体" w:eastAsia="黑体"/>
          <w:sz w:val="32"/>
          <w:szCs w:val="32"/>
          <w:lang w:val="zh-CN"/>
        </w:rPr>
      </w:pPr>
      <w:r>
        <w:rPr>
          <w:rFonts w:hint="eastAsia" w:ascii="仿宋_GB2312" w:hAnsi="黑体" w:eastAsia="仿宋_GB2312" w:cs="宋体"/>
          <w:sz w:val="22"/>
          <w:lang w:val="en-US" w:eastAsia="zh-CN"/>
        </w:rPr>
        <w:t xml:space="preserve">  </w:t>
      </w:r>
    </w:p>
    <w:p>
      <w:pPr>
        <w:rPr>
          <w:rFonts w:hint="eastAsia" w:ascii="黑体" w:eastAsia="黑体"/>
          <w:sz w:val="32"/>
          <w:szCs w:val="32"/>
          <w:lang w:val="zh-CN"/>
        </w:rPr>
      </w:pPr>
    </w:p>
    <w:p>
      <w:pP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roman"/>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创艺简标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微软雅黑">
    <w:panose1 w:val="020B0503020204020204"/>
    <w:charset w:val="86"/>
    <w:family w:val="script"/>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楷体_GB2312">
    <w:altName w:val="楷体"/>
    <w:panose1 w:val="02010609030101010101"/>
    <w:charset w:val="86"/>
    <w:family w:val="swiss"/>
    <w:pitch w:val="default"/>
    <w:sig w:usb0="00000000" w:usb1="00000000" w:usb2="00000000" w:usb3="00000000" w:csb0="00040000" w:csb1="0000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0750639">
    <w:nsid w:val="5678B2AF"/>
    <w:multiLevelType w:val="singleLevel"/>
    <w:tmpl w:val="5678B2AF"/>
    <w:lvl w:ilvl="0" w:tentative="1">
      <w:start w:val="1"/>
      <w:numFmt w:val="decimal"/>
      <w:suff w:val="nothing"/>
      <w:lvlText w:val="（%1）"/>
      <w:lvlJc w:val="left"/>
    </w:lvl>
  </w:abstractNum>
  <w:num w:numId="1">
    <w:abstractNumId w:val="14507506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9403A3"/>
    <w:rsid w:val="01477383"/>
    <w:rsid w:val="0364779F"/>
    <w:rsid w:val="06C5603D"/>
    <w:rsid w:val="1FA06906"/>
    <w:rsid w:val="2E6F57D6"/>
    <w:rsid w:val="2F1156C3"/>
    <w:rsid w:val="38946A74"/>
    <w:rsid w:val="3A9B0BB2"/>
    <w:rsid w:val="3B8D7A57"/>
    <w:rsid w:val="400969B7"/>
    <w:rsid w:val="4D1D2091"/>
    <w:rsid w:val="50720FD1"/>
    <w:rsid w:val="519378FD"/>
    <w:rsid w:val="54040272"/>
    <w:rsid w:val="5C667DA8"/>
    <w:rsid w:val="634B0F88"/>
    <w:rsid w:val="6D1E2392"/>
    <w:rsid w:val="7475053F"/>
    <w:rsid w:val="7BFE610E"/>
    <w:rsid w:val="7C001611"/>
    <w:rsid w:val="7D9403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2015-12-23T08:08:00Z</dcterms:created>
  <dc:creator>pc</dc:creator>
  <cp:lastModifiedBy>pc</cp:lastModifiedBy>
  <dcterms:modified xsi:type="dcterms:W3CDTF">2015-12-28T07:58:11Z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