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line="560" w:lineRule="exact"/>
        <w:jc w:val="center"/>
        <w:rPr>
          <w:rFonts w:hint="eastAsia" w:ascii="黑体" w:eastAsia="黑体"/>
          <w:sz w:val="32"/>
          <w:szCs w:val="32"/>
          <w:lang w:val="zh-CN" w:eastAsia="zh-CN"/>
        </w:rPr>
      </w:pPr>
      <w:r>
        <w:rPr>
          <w:rFonts w:hint="eastAsia" w:ascii="黑体" w:eastAsia="黑体"/>
          <w:sz w:val="32"/>
          <w:szCs w:val="32"/>
          <w:lang w:val="en-US" w:eastAsia="zh-CN"/>
        </w:rPr>
        <w:t>郸城县</w:t>
      </w:r>
      <w:r>
        <w:rPr>
          <w:rFonts w:hint="eastAsia" w:ascii="黑体" w:eastAsia="黑体"/>
          <w:sz w:val="32"/>
          <w:szCs w:val="32"/>
          <w:lang w:val="zh-CN" w:eastAsia="zh-CN"/>
        </w:rPr>
        <w:t>商务局责任清单</w:t>
      </w:r>
    </w:p>
    <w:p>
      <w:pPr>
        <w:spacing w:line="560" w:lineRule="exact"/>
        <w:ind w:firstLine="440" w:firstLineChars="200"/>
        <w:rPr>
          <w:rFonts w:hint="eastAsia" w:ascii="仿宋_GB2312" w:hAnsi="黑体" w:eastAsia="仿宋_GB2312" w:cs="宋体"/>
          <w:sz w:val="22"/>
        </w:rPr>
      </w:pPr>
      <w:r>
        <w:rPr>
          <w:rFonts w:hint="eastAsia" w:ascii="仿宋_GB2312" w:hAnsi="黑体" w:eastAsia="仿宋_GB2312" w:cs="宋体"/>
          <w:sz w:val="22"/>
        </w:rPr>
        <w:t>职权类别：其他职权</w:t>
      </w:r>
    </w:p>
    <w:tbl>
      <w:tblPr>
        <w:tblStyle w:val="6"/>
        <w:tblW w:w="14174"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18"/>
        <w:gridCol w:w="1199"/>
        <w:gridCol w:w="3135"/>
        <w:gridCol w:w="1074"/>
        <w:gridCol w:w="3775"/>
        <w:gridCol w:w="1161"/>
        <w:gridCol w:w="849"/>
        <w:gridCol w:w="813"/>
        <w:gridCol w:w="145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8" w:hRule="atLeast"/>
          <w:jc w:val="center"/>
        </w:trPr>
        <w:tc>
          <w:tcPr>
            <w:tcW w:w="718"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序号</w:t>
            </w:r>
          </w:p>
        </w:tc>
        <w:tc>
          <w:tcPr>
            <w:tcW w:w="119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职权名称</w:t>
            </w:r>
          </w:p>
        </w:tc>
        <w:tc>
          <w:tcPr>
            <w:tcW w:w="313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实施依据</w:t>
            </w:r>
          </w:p>
        </w:tc>
        <w:tc>
          <w:tcPr>
            <w:tcW w:w="1074"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办理</w:t>
            </w:r>
          </w:p>
          <w:p>
            <w:pPr>
              <w:spacing w:line="360" w:lineRule="exact"/>
              <w:jc w:val="center"/>
              <w:rPr>
                <w:rFonts w:hint="eastAsia" w:ascii="黑体" w:hAnsi="黑体" w:eastAsia="黑体" w:cs="黑体"/>
                <w:sz w:val="22"/>
              </w:rPr>
            </w:pPr>
            <w:r>
              <w:rPr>
                <w:rFonts w:hint="eastAsia" w:ascii="黑体" w:hAnsi="黑体" w:eastAsia="黑体" w:cs="黑体"/>
                <w:sz w:val="22"/>
              </w:rPr>
              <w:t>环节</w:t>
            </w:r>
          </w:p>
        </w:tc>
        <w:tc>
          <w:tcPr>
            <w:tcW w:w="377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责任事项</w:t>
            </w:r>
          </w:p>
        </w:tc>
        <w:tc>
          <w:tcPr>
            <w:tcW w:w="1161"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w:t>
            </w:r>
            <w:r>
              <w:rPr>
                <w:rFonts w:hint="eastAsia" w:ascii="黑体" w:hAnsi="黑体" w:eastAsia="黑体" w:cs="黑体"/>
                <w:sz w:val="22"/>
                <w:lang w:val="en-US" w:eastAsia="zh-CN"/>
              </w:rPr>
              <w:t>股</w:t>
            </w:r>
            <w:r>
              <w:rPr>
                <w:rFonts w:hint="eastAsia" w:ascii="黑体" w:hAnsi="黑体" w:eastAsia="黑体" w:cs="黑体"/>
                <w:sz w:val="22"/>
              </w:rPr>
              <w:t>室</w:t>
            </w:r>
          </w:p>
        </w:tc>
        <w:tc>
          <w:tcPr>
            <w:tcW w:w="84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承诺时限</w:t>
            </w:r>
          </w:p>
        </w:tc>
        <w:tc>
          <w:tcPr>
            <w:tcW w:w="813"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法定时限</w:t>
            </w:r>
          </w:p>
        </w:tc>
        <w:tc>
          <w:tcPr>
            <w:tcW w:w="1450"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restart"/>
            <w:vAlign w:val="center"/>
          </w:tcPr>
          <w:p>
            <w:pPr>
              <w:spacing w:line="560" w:lineRule="exact"/>
              <w:jc w:val="center"/>
              <w:rPr>
                <w:rFonts w:hint="eastAsia" w:ascii="仿宋_GB2312" w:hAnsi="黑体" w:eastAsia="仿宋_GB2312" w:cs="宋体"/>
                <w:sz w:val="22"/>
                <w:lang w:eastAsia="zh-CN"/>
              </w:rPr>
            </w:pPr>
            <w:r>
              <w:rPr>
                <w:rFonts w:hint="eastAsia" w:ascii="仿宋_GB2312" w:hAnsi="黑体" w:eastAsia="仿宋_GB2312" w:cs="宋体"/>
                <w:sz w:val="22"/>
                <w:lang w:val="en-US" w:eastAsia="zh-CN"/>
              </w:rPr>
              <w:t>57</w:t>
            </w:r>
          </w:p>
        </w:tc>
        <w:tc>
          <w:tcPr>
            <w:tcW w:w="1199" w:type="dxa"/>
            <w:vMerge w:val="restart"/>
            <w:vAlign w:val="center"/>
          </w:tcPr>
          <w:p>
            <w:pPr>
              <w:widowControl/>
              <w:spacing w:line="300" w:lineRule="exact"/>
              <w:jc w:val="center"/>
              <w:rPr>
                <w:rFonts w:hint="eastAsia" w:ascii="仿宋_GB2312" w:hAnsi="黑体" w:eastAsia="仿宋_GB2312" w:cs="宋体"/>
                <w:spacing w:val="-20"/>
                <w:sz w:val="22"/>
              </w:rPr>
            </w:pPr>
            <w:r>
              <w:rPr>
                <w:rFonts w:hint="eastAsia" w:ascii="宋体" w:hAnsi="宋体" w:cs="宋体"/>
                <w:kern w:val="0"/>
                <w:szCs w:val="21"/>
              </w:rPr>
              <w:t>对外贸易经营者备案</w:t>
            </w:r>
          </w:p>
        </w:tc>
        <w:tc>
          <w:tcPr>
            <w:tcW w:w="3135" w:type="dxa"/>
            <w:vMerge w:val="restart"/>
            <w:vAlign w:val="center"/>
          </w:tcPr>
          <w:p>
            <w:pPr>
              <w:widowControl/>
              <w:spacing w:line="240" w:lineRule="exact"/>
              <w:jc w:val="left"/>
              <w:rPr>
                <w:rFonts w:hint="eastAsia" w:ascii="宋体" w:hAnsi="宋体" w:eastAsia="宋体" w:cs="宋体"/>
                <w:spacing w:val="-20"/>
                <w:sz w:val="22"/>
              </w:rPr>
            </w:pPr>
            <w:r>
              <w:rPr>
                <w:rFonts w:hint="eastAsia" w:ascii="宋体" w:hAnsi="宋体" w:eastAsia="宋体" w:cs="宋体"/>
                <w:sz w:val="20"/>
                <w:szCs w:val="20"/>
              </w:rPr>
              <w:t>《中华人民共和国对外贸易法》（中华人民共和国主席令第</w:t>
            </w:r>
            <w:r>
              <w:rPr>
                <w:rFonts w:hint="eastAsia" w:ascii="宋体" w:hAnsi="宋体" w:eastAsia="宋体" w:cs="宋体"/>
                <w:sz w:val="20"/>
                <w:szCs w:val="20"/>
                <w:lang w:val="en-US" w:eastAsia="zh-CN"/>
              </w:rPr>
              <w:t>15</w:t>
            </w:r>
            <w:r>
              <w:rPr>
                <w:rFonts w:hint="eastAsia" w:ascii="宋体" w:hAnsi="宋体" w:eastAsia="宋体" w:cs="宋体"/>
                <w:sz w:val="20"/>
                <w:szCs w:val="20"/>
              </w:rPr>
              <w:t>号）第九条“从事货物进出口或者技术进出口的对外贸易经营者，应当向国务院对外贸易主管部门或者其委托的机构办理备案登记”；《对外贸易经营者备案登记办法》（商务部令2004年第14号）第四条：“对外贸易经营者备案登记工作实行全国联网和属地化管理。商务部委托符合条件的地方对外贸易主管部门（以下简称备案登记机关）负责办理本地区对外贸易经营者备案登记手续”。</w:t>
            </w: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仿宋_GB2312" w:hAnsi="仿宋_GB2312" w:eastAsia="仿宋_GB2312"/>
                <w:spacing w:val="-20"/>
                <w:sz w:val="20"/>
                <w:szCs w:val="20"/>
              </w:rPr>
              <w:t>受理</w:t>
            </w:r>
          </w:p>
        </w:tc>
        <w:tc>
          <w:tcPr>
            <w:tcW w:w="3775" w:type="dxa"/>
            <w:vAlign w:val="center"/>
          </w:tcPr>
          <w:p>
            <w:pPr>
              <w:autoSpaceDE w:val="0"/>
              <w:autoSpaceDN w:val="0"/>
              <w:spacing w:line="240" w:lineRule="exact"/>
              <w:rPr>
                <w:rFonts w:hint="eastAsia" w:ascii="仿宋_GB2312" w:hAnsi="黑体" w:eastAsia="仿宋_GB2312" w:cs="宋体"/>
                <w:sz w:val="22"/>
              </w:rPr>
            </w:pPr>
            <w:r>
              <w:rPr>
                <w:rFonts w:hint="eastAsia"/>
                <w:color w:val="000000"/>
                <w:sz w:val="20"/>
                <w:szCs w:val="20"/>
              </w:rPr>
              <w:t>1.受理阶段责任：公示依法应当提交的材料；一次性告知补正材料；依法受理或不予受理（不予受理的告知理由）。</w:t>
            </w:r>
          </w:p>
        </w:tc>
        <w:tc>
          <w:tcPr>
            <w:tcW w:w="1161" w:type="dxa"/>
            <w:vAlign w:val="center"/>
          </w:tcPr>
          <w:p>
            <w:pPr>
              <w:spacing w:line="300" w:lineRule="exact"/>
              <w:jc w:val="center"/>
              <w:rPr>
                <w:rFonts w:hint="eastAsia" w:ascii="仿宋_GB2312" w:hAnsi="黑体" w:eastAsia="仿宋_GB2312" w:cs="宋体"/>
                <w:sz w:val="20"/>
                <w:szCs w:val="20"/>
              </w:rPr>
            </w:pPr>
            <w:r>
              <w:rPr>
                <w:rFonts w:hint="eastAsia" w:ascii="仿宋_GB2312" w:hAnsi="黑体" w:eastAsia="仿宋_GB2312" w:cs="宋体"/>
                <w:sz w:val="20"/>
                <w:szCs w:val="20"/>
              </w:rPr>
              <w:t>行政审批服务</w:t>
            </w:r>
            <w:r>
              <w:rPr>
                <w:rFonts w:hint="eastAsia" w:ascii="仿宋_GB2312" w:hAnsi="黑体" w:eastAsia="仿宋_GB2312" w:cs="宋体"/>
                <w:sz w:val="20"/>
                <w:szCs w:val="20"/>
                <w:lang w:val="en-US" w:eastAsia="zh-CN"/>
              </w:rPr>
              <w:t>股</w:t>
            </w:r>
          </w:p>
        </w:tc>
        <w:tc>
          <w:tcPr>
            <w:tcW w:w="849" w:type="dxa"/>
            <w:vAlign w:val="center"/>
          </w:tcPr>
          <w:p>
            <w:pPr>
              <w:spacing w:line="560" w:lineRule="exact"/>
              <w:jc w:val="center"/>
              <w:rPr>
                <w:rFonts w:hint="eastAsia" w:ascii="仿宋_GB2312" w:hAnsi="黑体" w:eastAsia="仿宋_GB2312" w:cs="宋体"/>
                <w:sz w:val="22"/>
                <w:lang w:eastAsia="zh-CN"/>
              </w:rPr>
            </w:pPr>
            <w:r>
              <w:rPr>
                <w:rFonts w:hint="eastAsia" w:ascii="仿宋_GB2312" w:hAnsi="黑体" w:eastAsia="仿宋_GB2312" w:cs="宋体"/>
                <w:sz w:val="22"/>
                <w:lang w:val="en-US" w:eastAsia="zh-CN"/>
              </w:rPr>
              <w:t>1</w:t>
            </w:r>
          </w:p>
        </w:tc>
        <w:tc>
          <w:tcPr>
            <w:tcW w:w="813" w:type="dxa"/>
            <w:vMerge w:val="restart"/>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5</w:t>
            </w:r>
          </w:p>
        </w:tc>
        <w:tc>
          <w:tcPr>
            <w:tcW w:w="1450" w:type="dxa"/>
            <w:vMerge w:val="restart"/>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仿宋_GB2312" w:hAnsi="仿宋_GB2312" w:eastAsia="仿宋_GB2312"/>
                <w:spacing w:val="-20"/>
                <w:sz w:val="20"/>
                <w:szCs w:val="20"/>
              </w:rPr>
              <w:t>审查</w:t>
            </w:r>
          </w:p>
        </w:tc>
        <w:tc>
          <w:tcPr>
            <w:tcW w:w="3775" w:type="dxa"/>
            <w:vAlign w:val="center"/>
          </w:tcPr>
          <w:p>
            <w:pPr>
              <w:autoSpaceDE w:val="0"/>
              <w:autoSpaceDN w:val="0"/>
              <w:spacing w:line="240" w:lineRule="exact"/>
              <w:rPr>
                <w:rFonts w:hint="eastAsia" w:ascii="仿宋_GB2312" w:hAnsi="仿宋_GB2312" w:eastAsia="仿宋_GB2312"/>
                <w:spacing w:val="-20"/>
                <w:sz w:val="20"/>
                <w:szCs w:val="20"/>
              </w:rPr>
            </w:pPr>
            <w:r>
              <w:rPr>
                <w:rFonts w:hint="eastAsia"/>
                <w:color w:val="000000"/>
                <w:sz w:val="20"/>
                <w:szCs w:val="20"/>
              </w:rPr>
              <w:t>2.审查阶段责任：材料审核；提出初审意见。</w:t>
            </w:r>
          </w:p>
        </w:tc>
        <w:tc>
          <w:tcPr>
            <w:tcW w:w="1161" w:type="dxa"/>
            <w:vAlign w:val="center"/>
          </w:tcPr>
          <w:p>
            <w:pPr>
              <w:spacing w:line="300" w:lineRule="exact"/>
              <w:jc w:val="center"/>
              <w:rPr>
                <w:rFonts w:hint="eastAsia" w:ascii="仿宋_GB2312" w:hAnsi="黑体" w:eastAsia="仿宋_GB2312" w:cs="宋体"/>
                <w:sz w:val="20"/>
                <w:szCs w:val="20"/>
              </w:rPr>
            </w:pPr>
            <w:r>
              <w:rPr>
                <w:rFonts w:hint="eastAsia" w:ascii="仿宋_GB2312" w:hAnsi="黑体" w:eastAsia="仿宋_GB2312" w:cs="宋体"/>
                <w:sz w:val="20"/>
                <w:szCs w:val="20"/>
              </w:rPr>
              <w:t>行政审批服务</w:t>
            </w:r>
            <w:r>
              <w:rPr>
                <w:rFonts w:hint="eastAsia" w:ascii="仿宋_GB2312" w:hAnsi="黑体" w:eastAsia="仿宋_GB2312" w:cs="宋体"/>
                <w:sz w:val="20"/>
                <w:szCs w:val="20"/>
                <w:lang w:val="en-US" w:eastAsia="zh-CN"/>
              </w:rPr>
              <w:t>股</w:t>
            </w:r>
          </w:p>
        </w:tc>
        <w:tc>
          <w:tcPr>
            <w:tcW w:w="849"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2</w:t>
            </w:r>
          </w:p>
        </w:tc>
        <w:tc>
          <w:tcPr>
            <w:tcW w:w="813" w:type="dxa"/>
            <w:vMerge w:val="continue"/>
            <w:vAlign w:val="center"/>
          </w:tcPr>
          <w:p>
            <w:pPr>
              <w:spacing w:line="560" w:lineRule="exact"/>
              <w:jc w:val="center"/>
              <w:rPr>
                <w:rFonts w:hint="eastAsia" w:ascii="仿宋_GB2312" w:hAnsi="黑体" w:eastAsia="仿宋_GB2312" w:cs="宋体"/>
                <w:sz w:val="22"/>
              </w:rPr>
            </w:pPr>
          </w:p>
        </w:tc>
        <w:tc>
          <w:tcPr>
            <w:tcW w:w="1450"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仿宋_GB2312" w:hAnsi="仿宋_GB2312" w:eastAsia="仿宋_GB2312"/>
                <w:spacing w:val="-20"/>
                <w:sz w:val="20"/>
                <w:szCs w:val="20"/>
              </w:rPr>
              <w:t>决定</w:t>
            </w:r>
          </w:p>
        </w:tc>
        <w:tc>
          <w:tcPr>
            <w:tcW w:w="3775" w:type="dxa"/>
            <w:vAlign w:val="center"/>
          </w:tcPr>
          <w:p>
            <w:pPr>
              <w:autoSpaceDE w:val="0"/>
              <w:autoSpaceDN w:val="0"/>
              <w:spacing w:line="240" w:lineRule="exact"/>
              <w:rPr>
                <w:rFonts w:hint="eastAsia" w:ascii="仿宋_GB2312" w:hAnsi="仿宋_GB2312" w:eastAsia="仿宋_GB2312"/>
                <w:spacing w:val="-20"/>
                <w:sz w:val="20"/>
                <w:szCs w:val="20"/>
              </w:rPr>
            </w:pPr>
            <w:r>
              <w:rPr>
                <w:rFonts w:hint="eastAsia"/>
                <w:color w:val="000000"/>
                <w:sz w:val="20"/>
                <w:szCs w:val="20"/>
              </w:rPr>
              <w:t>3.决定阶段责任：作出初审批准或者不批准的决定（不批准的告知理由）；按时办结；法定告知。</w:t>
            </w:r>
          </w:p>
        </w:tc>
        <w:tc>
          <w:tcPr>
            <w:tcW w:w="1161" w:type="dxa"/>
            <w:vAlign w:val="center"/>
          </w:tcPr>
          <w:p>
            <w:pPr>
              <w:spacing w:line="300" w:lineRule="exact"/>
              <w:jc w:val="center"/>
              <w:rPr>
                <w:rFonts w:hint="eastAsia" w:ascii="仿宋_GB2312" w:hAnsi="黑体" w:eastAsia="仿宋_GB2312" w:cs="宋体"/>
                <w:sz w:val="20"/>
                <w:szCs w:val="20"/>
              </w:rPr>
            </w:pPr>
            <w:r>
              <w:rPr>
                <w:rFonts w:hint="eastAsia" w:ascii="仿宋_GB2312" w:hAnsi="黑体" w:eastAsia="仿宋_GB2312" w:cs="宋体"/>
                <w:sz w:val="20"/>
                <w:szCs w:val="20"/>
              </w:rPr>
              <w:t>行政审批服务</w:t>
            </w:r>
            <w:r>
              <w:rPr>
                <w:rFonts w:hint="eastAsia" w:ascii="仿宋_GB2312" w:hAnsi="黑体" w:eastAsia="仿宋_GB2312" w:cs="宋体"/>
                <w:sz w:val="20"/>
                <w:szCs w:val="20"/>
                <w:lang w:val="en-US" w:eastAsia="zh-CN"/>
              </w:rPr>
              <w:t>股</w:t>
            </w:r>
          </w:p>
        </w:tc>
        <w:tc>
          <w:tcPr>
            <w:tcW w:w="849"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1</w:t>
            </w:r>
          </w:p>
        </w:tc>
        <w:tc>
          <w:tcPr>
            <w:tcW w:w="813" w:type="dxa"/>
            <w:vMerge w:val="continue"/>
            <w:vAlign w:val="center"/>
          </w:tcPr>
          <w:p>
            <w:pPr>
              <w:spacing w:line="560" w:lineRule="exact"/>
              <w:jc w:val="center"/>
              <w:rPr>
                <w:rFonts w:hint="eastAsia" w:ascii="仿宋_GB2312" w:hAnsi="黑体" w:eastAsia="仿宋_GB2312" w:cs="宋体"/>
                <w:sz w:val="22"/>
              </w:rPr>
            </w:pPr>
          </w:p>
        </w:tc>
        <w:tc>
          <w:tcPr>
            <w:tcW w:w="1450"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仿宋_GB2312" w:hAnsi="仿宋_GB2312" w:eastAsia="仿宋_GB2312"/>
                <w:spacing w:val="-20"/>
                <w:sz w:val="20"/>
                <w:szCs w:val="20"/>
              </w:rPr>
              <w:t>送达</w:t>
            </w:r>
          </w:p>
        </w:tc>
        <w:tc>
          <w:tcPr>
            <w:tcW w:w="3775" w:type="dxa"/>
            <w:vAlign w:val="center"/>
          </w:tcPr>
          <w:p>
            <w:pPr>
              <w:autoSpaceDE w:val="0"/>
              <w:autoSpaceDN w:val="0"/>
              <w:spacing w:line="240" w:lineRule="exact"/>
              <w:rPr>
                <w:rFonts w:hint="eastAsia" w:ascii="仿宋_GB2312" w:hAnsi="仿宋_GB2312" w:eastAsia="仿宋_GB2312"/>
                <w:spacing w:val="-20"/>
                <w:sz w:val="20"/>
                <w:szCs w:val="20"/>
              </w:rPr>
            </w:pPr>
            <w:r>
              <w:rPr>
                <w:rFonts w:hint="eastAsia"/>
                <w:color w:val="000000"/>
                <w:sz w:val="20"/>
                <w:szCs w:val="20"/>
              </w:rPr>
              <w:t>4.送达阶段责任：制发送达文书；信息公开。</w:t>
            </w:r>
          </w:p>
        </w:tc>
        <w:tc>
          <w:tcPr>
            <w:tcW w:w="1161" w:type="dxa"/>
            <w:vAlign w:val="center"/>
          </w:tcPr>
          <w:p>
            <w:pPr>
              <w:spacing w:line="300" w:lineRule="exact"/>
              <w:jc w:val="center"/>
              <w:rPr>
                <w:rFonts w:hint="eastAsia" w:ascii="仿宋_GB2312" w:hAnsi="黑体" w:eastAsia="仿宋_GB2312" w:cs="宋体"/>
                <w:sz w:val="20"/>
                <w:szCs w:val="20"/>
              </w:rPr>
            </w:pPr>
            <w:r>
              <w:rPr>
                <w:rFonts w:hint="eastAsia" w:ascii="仿宋_GB2312" w:hAnsi="黑体" w:eastAsia="仿宋_GB2312" w:cs="宋体"/>
                <w:sz w:val="20"/>
                <w:szCs w:val="20"/>
              </w:rPr>
              <w:t>行政审批服务</w:t>
            </w:r>
            <w:r>
              <w:rPr>
                <w:rFonts w:hint="eastAsia" w:ascii="仿宋_GB2312" w:hAnsi="黑体" w:eastAsia="仿宋_GB2312" w:cs="宋体"/>
                <w:sz w:val="20"/>
                <w:szCs w:val="20"/>
                <w:lang w:val="en-US" w:eastAsia="zh-CN"/>
              </w:rPr>
              <w:t>股</w:t>
            </w:r>
          </w:p>
        </w:tc>
        <w:tc>
          <w:tcPr>
            <w:tcW w:w="849"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1</w:t>
            </w:r>
          </w:p>
        </w:tc>
        <w:tc>
          <w:tcPr>
            <w:tcW w:w="813" w:type="dxa"/>
            <w:vMerge w:val="continue"/>
            <w:vAlign w:val="center"/>
          </w:tcPr>
          <w:p>
            <w:pPr>
              <w:spacing w:line="560" w:lineRule="exact"/>
              <w:jc w:val="center"/>
              <w:rPr>
                <w:rFonts w:hint="eastAsia" w:ascii="仿宋_GB2312" w:hAnsi="黑体" w:eastAsia="仿宋_GB2312" w:cs="宋体"/>
                <w:sz w:val="22"/>
              </w:rPr>
            </w:pPr>
          </w:p>
        </w:tc>
        <w:tc>
          <w:tcPr>
            <w:tcW w:w="1450"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仿宋_GB2312" w:hAnsi="仿宋_GB2312" w:eastAsia="仿宋_GB2312"/>
                <w:spacing w:val="-20"/>
                <w:sz w:val="20"/>
                <w:szCs w:val="20"/>
              </w:rPr>
              <w:t>事后监管</w:t>
            </w:r>
          </w:p>
        </w:tc>
        <w:tc>
          <w:tcPr>
            <w:tcW w:w="3775" w:type="dxa"/>
            <w:vAlign w:val="center"/>
          </w:tcPr>
          <w:p>
            <w:pPr>
              <w:autoSpaceDE w:val="0"/>
              <w:autoSpaceDN w:val="0"/>
              <w:spacing w:line="240" w:lineRule="exact"/>
              <w:rPr>
                <w:rFonts w:hint="eastAsia" w:ascii="仿宋_GB2312" w:hAnsi="仿宋_GB2312" w:eastAsia="仿宋_GB2312"/>
                <w:spacing w:val="-20"/>
                <w:sz w:val="20"/>
                <w:szCs w:val="20"/>
              </w:rPr>
            </w:pPr>
            <w:r>
              <w:rPr>
                <w:rFonts w:hint="eastAsia"/>
                <w:color w:val="000000"/>
                <w:sz w:val="20"/>
                <w:szCs w:val="20"/>
              </w:rPr>
              <w:t>5.事后监管责任：开展定期和不定期检查，根据检查情况，做出资质注销等决定。</w:t>
            </w:r>
          </w:p>
        </w:tc>
        <w:tc>
          <w:tcPr>
            <w:tcW w:w="1161" w:type="dxa"/>
            <w:vAlign w:val="center"/>
          </w:tcPr>
          <w:p>
            <w:pPr>
              <w:spacing w:line="300" w:lineRule="exact"/>
              <w:jc w:val="center"/>
              <w:rPr>
                <w:rFonts w:hint="eastAsia" w:ascii="仿宋_GB2312" w:hAnsi="黑体" w:eastAsia="仿宋_GB2312" w:cs="宋体"/>
                <w:sz w:val="20"/>
                <w:szCs w:val="20"/>
              </w:rPr>
            </w:pPr>
            <w:r>
              <w:rPr>
                <w:rFonts w:hint="eastAsia" w:ascii="仿宋_GB2312" w:hAnsi="黑体" w:eastAsia="仿宋_GB2312" w:cs="宋体"/>
                <w:sz w:val="20"/>
                <w:szCs w:val="20"/>
              </w:rPr>
              <w:t>行政审批服务</w:t>
            </w:r>
            <w:r>
              <w:rPr>
                <w:rFonts w:hint="eastAsia" w:ascii="仿宋_GB2312" w:hAnsi="黑体" w:eastAsia="仿宋_GB2312" w:cs="宋体"/>
                <w:sz w:val="20"/>
                <w:szCs w:val="20"/>
                <w:lang w:val="en-US" w:eastAsia="zh-CN"/>
              </w:rPr>
              <w:t>股</w:t>
            </w:r>
          </w:p>
        </w:tc>
        <w:tc>
          <w:tcPr>
            <w:tcW w:w="849" w:type="dxa"/>
            <w:vAlign w:val="center"/>
          </w:tcPr>
          <w:p>
            <w:pPr>
              <w:spacing w:line="560" w:lineRule="exact"/>
              <w:jc w:val="center"/>
              <w:rPr>
                <w:rFonts w:hint="eastAsia" w:ascii="仿宋_GB2312" w:hAnsi="黑体" w:eastAsia="仿宋_GB2312" w:cs="宋体"/>
                <w:sz w:val="22"/>
              </w:rPr>
            </w:pPr>
          </w:p>
        </w:tc>
        <w:tc>
          <w:tcPr>
            <w:tcW w:w="813" w:type="dxa"/>
            <w:vMerge w:val="continue"/>
            <w:vAlign w:val="center"/>
          </w:tcPr>
          <w:p>
            <w:pPr>
              <w:spacing w:line="560" w:lineRule="exact"/>
              <w:jc w:val="center"/>
              <w:rPr>
                <w:rFonts w:hint="eastAsia" w:ascii="仿宋_GB2312" w:hAnsi="黑体" w:eastAsia="仿宋_GB2312" w:cs="宋体"/>
                <w:sz w:val="22"/>
              </w:rPr>
            </w:pPr>
          </w:p>
        </w:tc>
        <w:tc>
          <w:tcPr>
            <w:tcW w:w="1450"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p>
        </w:tc>
        <w:tc>
          <w:tcPr>
            <w:tcW w:w="3775" w:type="dxa"/>
            <w:vAlign w:val="center"/>
          </w:tcPr>
          <w:p>
            <w:pPr>
              <w:autoSpaceDE w:val="0"/>
              <w:autoSpaceDN w:val="0"/>
              <w:spacing w:line="240" w:lineRule="exact"/>
              <w:rPr>
                <w:rFonts w:hint="eastAsia" w:ascii="仿宋_GB2312" w:hAnsi="仿宋_GB2312" w:eastAsia="仿宋_GB2312"/>
                <w:spacing w:val="-20"/>
                <w:sz w:val="20"/>
                <w:szCs w:val="20"/>
              </w:rPr>
            </w:pPr>
            <w:r>
              <w:rPr>
                <w:rFonts w:hint="eastAsia"/>
                <w:color w:val="000000"/>
                <w:sz w:val="20"/>
                <w:szCs w:val="20"/>
              </w:rPr>
              <w:t>6.其他法律法规规章文件规定应履行的责任。</w:t>
            </w:r>
          </w:p>
        </w:tc>
        <w:tc>
          <w:tcPr>
            <w:tcW w:w="1161" w:type="dxa"/>
            <w:vAlign w:val="center"/>
          </w:tcPr>
          <w:p>
            <w:pPr>
              <w:spacing w:line="300" w:lineRule="exact"/>
              <w:jc w:val="center"/>
              <w:rPr>
                <w:rFonts w:hint="eastAsia" w:ascii="仿宋_GB2312" w:hAnsi="黑体" w:eastAsia="仿宋_GB2312" w:cs="宋体"/>
                <w:sz w:val="20"/>
                <w:szCs w:val="20"/>
              </w:rPr>
            </w:pPr>
            <w:r>
              <w:rPr>
                <w:rFonts w:hint="eastAsia" w:ascii="仿宋_GB2312" w:hAnsi="黑体" w:eastAsia="仿宋_GB2312" w:cs="宋体"/>
                <w:sz w:val="20"/>
                <w:szCs w:val="20"/>
              </w:rPr>
              <w:t>行政审批服务</w:t>
            </w:r>
            <w:r>
              <w:rPr>
                <w:rFonts w:hint="eastAsia" w:ascii="仿宋_GB2312" w:hAnsi="黑体" w:eastAsia="仿宋_GB2312" w:cs="宋体"/>
                <w:sz w:val="20"/>
                <w:szCs w:val="20"/>
                <w:lang w:val="en-US" w:eastAsia="zh-CN"/>
              </w:rPr>
              <w:t>股</w:t>
            </w:r>
          </w:p>
        </w:tc>
        <w:tc>
          <w:tcPr>
            <w:tcW w:w="849" w:type="dxa"/>
            <w:vAlign w:val="center"/>
          </w:tcPr>
          <w:p>
            <w:pPr>
              <w:spacing w:line="560" w:lineRule="exact"/>
              <w:jc w:val="center"/>
              <w:rPr>
                <w:rFonts w:hint="eastAsia" w:ascii="仿宋_GB2312" w:hAnsi="黑体" w:eastAsia="仿宋_GB2312" w:cs="宋体"/>
                <w:sz w:val="22"/>
              </w:rPr>
            </w:pPr>
          </w:p>
        </w:tc>
        <w:tc>
          <w:tcPr>
            <w:tcW w:w="813" w:type="dxa"/>
            <w:vMerge w:val="continue"/>
            <w:vAlign w:val="center"/>
          </w:tcPr>
          <w:p>
            <w:pPr>
              <w:spacing w:line="560" w:lineRule="exact"/>
              <w:jc w:val="center"/>
              <w:rPr>
                <w:rFonts w:hint="eastAsia" w:ascii="仿宋_GB2312" w:hAnsi="黑体" w:eastAsia="仿宋_GB2312" w:cs="宋体"/>
                <w:sz w:val="22"/>
              </w:rPr>
            </w:pPr>
          </w:p>
        </w:tc>
        <w:tc>
          <w:tcPr>
            <w:tcW w:w="1450"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12" w:hRule="atLeast"/>
          <w:jc w:val="center"/>
        </w:trPr>
        <w:tc>
          <w:tcPr>
            <w:tcW w:w="14174"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服务电话：</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投诉机构：</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商务举报投诉服务站</w:t>
            </w:r>
            <w:r>
              <w:rPr>
                <w:rFonts w:hint="eastAsia" w:ascii="仿宋_GB2312" w:hAnsi="黑体" w:eastAsia="仿宋_GB2312" w:cs="宋体"/>
                <w:sz w:val="22"/>
              </w:rPr>
              <w:t xml:space="preserve">      投诉电话：0394-</w:t>
            </w:r>
            <w:r>
              <w:rPr>
                <w:rFonts w:hint="eastAsia" w:ascii="仿宋_GB2312" w:hAnsi="黑体" w:eastAsia="仿宋_GB2312" w:cs="宋体"/>
                <w:sz w:val="22"/>
                <w:lang w:val="en-US" w:eastAsia="zh-CN"/>
              </w:rPr>
              <w:t>3229596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12" w:hRule="atLeast"/>
          <w:jc w:val="center"/>
        </w:trPr>
        <w:tc>
          <w:tcPr>
            <w:tcW w:w="14174"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受理地点：</w:t>
            </w:r>
            <w:r>
              <w:rPr>
                <w:rFonts w:hint="eastAsia" w:ascii="仿宋_GB2312" w:hAnsi="黑体" w:eastAsia="仿宋_GB2312" w:cs="宋体"/>
                <w:sz w:val="22"/>
                <w:lang w:val="en-US" w:eastAsia="zh-CN"/>
              </w:rPr>
              <w:t>郸城县世纪大道南段商务局二楼</w:t>
            </w:r>
          </w:p>
        </w:tc>
      </w:tr>
    </w:tbl>
    <w:p>
      <w:pPr>
        <w:ind w:firstLine="420" w:firstLineChars="200"/>
      </w:pPr>
    </w:p>
    <w:p>
      <w:pPr>
        <w:spacing w:line="560" w:lineRule="exact"/>
        <w:jc w:val="both"/>
        <w:rPr>
          <w:rFonts w:hint="eastAsia" w:ascii="黑体" w:eastAsia="黑体"/>
          <w:sz w:val="32"/>
          <w:szCs w:val="32"/>
          <w:lang w:val="zh-CN" w:eastAsia="zh-CN"/>
        </w:rPr>
      </w:pPr>
      <w:r>
        <w:br w:type="page"/>
      </w:r>
      <w:r>
        <w:rPr>
          <w:rFonts w:hint="eastAsia" w:ascii="黑体" w:eastAsia="黑体"/>
          <w:sz w:val="32"/>
          <w:szCs w:val="32"/>
          <w:lang w:val="en-US" w:eastAsia="zh-CN"/>
        </w:rPr>
        <w:t>郸城县</w:t>
      </w:r>
      <w:r>
        <w:rPr>
          <w:rFonts w:hint="eastAsia" w:ascii="黑体" w:eastAsia="黑体"/>
          <w:sz w:val="32"/>
          <w:szCs w:val="32"/>
          <w:lang w:val="zh-CN" w:eastAsia="zh-CN"/>
        </w:rPr>
        <w:t>商务局责任清单</w:t>
      </w:r>
    </w:p>
    <w:p>
      <w:pPr>
        <w:spacing w:line="560" w:lineRule="exact"/>
        <w:ind w:firstLine="440" w:firstLineChars="200"/>
        <w:rPr>
          <w:rFonts w:hint="eastAsia" w:ascii="仿宋_GB2312" w:hAnsi="黑体" w:eastAsia="仿宋_GB2312" w:cs="宋体"/>
          <w:sz w:val="22"/>
        </w:rPr>
      </w:pPr>
      <w:r>
        <w:rPr>
          <w:rFonts w:hint="eastAsia" w:ascii="仿宋_GB2312" w:hAnsi="黑体" w:eastAsia="仿宋_GB2312" w:cs="宋体"/>
          <w:sz w:val="22"/>
        </w:rPr>
        <w:t>职权类别：其他职权</w:t>
      </w:r>
    </w:p>
    <w:tbl>
      <w:tblPr>
        <w:tblStyle w:val="6"/>
        <w:tblW w:w="14174"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18"/>
        <w:gridCol w:w="1199"/>
        <w:gridCol w:w="3135"/>
        <w:gridCol w:w="1074"/>
        <w:gridCol w:w="3775"/>
        <w:gridCol w:w="1161"/>
        <w:gridCol w:w="849"/>
        <w:gridCol w:w="813"/>
        <w:gridCol w:w="145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8" w:hRule="atLeast"/>
          <w:jc w:val="center"/>
        </w:trPr>
        <w:tc>
          <w:tcPr>
            <w:tcW w:w="718"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序号</w:t>
            </w:r>
          </w:p>
        </w:tc>
        <w:tc>
          <w:tcPr>
            <w:tcW w:w="119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职权名称</w:t>
            </w:r>
          </w:p>
        </w:tc>
        <w:tc>
          <w:tcPr>
            <w:tcW w:w="313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实施依据</w:t>
            </w:r>
          </w:p>
        </w:tc>
        <w:tc>
          <w:tcPr>
            <w:tcW w:w="1074"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办理</w:t>
            </w:r>
          </w:p>
          <w:p>
            <w:pPr>
              <w:spacing w:line="360" w:lineRule="exact"/>
              <w:jc w:val="center"/>
              <w:rPr>
                <w:rFonts w:hint="eastAsia" w:ascii="黑体" w:hAnsi="黑体" w:eastAsia="黑体" w:cs="黑体"/>
                <w:sz w:val="22"/>
              </w:rPr>
            </w:pPr>
            <w:r>
              <w:rPr>
                <w:rFonts w:hint="eastAsia" w:ascii="黑体" w:hAnsi="黑体" w:eastAsia="黑体" w:cs="黑体"/>
                <w:sz w:val="22"/>
              </w:rPr>
              <w:t>环节</w:t>
            </w:r>
          </w:p>
        </w:tc>
        <w:tc>
          <w:tcPr>
            <w:tcW w:w="377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责任事项</w:t>
            </w:r>
          </w:p>
        </w:tc>
        <w:tc>
          <w:tcPr>
            <w:tcW w:w="1161"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w:t>
            </w:r>
            <w:r>
              <w:rPr>
                <w:rFonts w:hint="eastAsia" w:ascii="黑体" w:hAnsi="黑体" w:eastAsia="黑体" w:cs="黑体"/>
                <w:sz w:val="22"/>
                <w:lang w:val="en-US" w:eastAsia="zh-CN"/>
              </w:rPr>
              <w:t>股</w:t>
            </w:r>
            <w:r>
              <w:rPr>
                <w:rFonts w:hint="eastAsia" w:ascii="黑体" w:hAnsi="黑体" w:eastAsia="黑体" w:cs="黑体"/>
                <w:sz w:val="22"/>
              </w:rPr>
              <w:t>室</w:t>
            </w:r>
          </w:p>
        </w:tc>
        <w:tc>
          <w:tcPr>
            <w:tcW w:w="84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承诺时限</w:t>
            </w:r>
          </w:p>
        </w:tc>
        <w:tc>
          <w:tcPr>
            <w:tcW w:w="813"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法定时限</w:t>
            </w:r>
          </w:p>
        </w:tc>
        <w:tc>
          <w:tcPr>
            <w:tcW w:w="1450"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restart"/>
            <w:vAlign w:val="center"/>
          </w:tcPr>
          <w:p>
            <w:pPr>
              <w:spacing w:line="560" w:lineRule="exact"/>
              <w:jc w:val="center"/>
              <w:rPr>
                <w:rFonts w:hint="eastAsia" w:ascii="仿宋_GB2312" w:hAnsi="黑体" w:eastAsia="仿宋_GB2312" w:cs="宋体"/>
                <w:sz w:val="22"/>
                <w:lang w:eastAsia="zh-CN"/>
              </w:rPr>
            </w:pPr>
            <w:r>
              <w:rPr>
                <w:rFonts w:hint="eastAsia" w:ascii="仿宋_GB2312" w:hAnsi="黑体" w:eastAsia="仿宋_GB2312" w:cs="宋体"/>
                <w:sz w:val="22"/>
                <w:lang w:val="en-US" w:eastAsia="zh-CN"/>
              </w:rPr>
              <w:t>58</w:t>
            </w:r>
          </w:p>
        </w:tc>
        <w:tc>
          <w:tcPr>
            <w:tcW w:w="1199" w:type="dxa"/>
            <w:vMerge w:val="restart"/>
            <w:vAlign w:val="center"/>
          </w:tcPr>
          <w:p>
            <w:pPr>
              <w:autoSpaceDE w:val="0"/>
              <w:autoSpaceDN w:val="0"/>
              <w:spacing w:line="300" w:lineRule="exact"/>
              <w:rPr>
                <w:rFonts w:hint="eastAsia" w:ascii="仿宋_GB2312" w:hAnsi="黑体" w:eastAsia="仿宋_GB2312" w:cs="宋体"/>
                <w:spacing w:val="-20"/>
                <w:sz w:val="22"/>
              </w:rPr>
            </w:pPr>
            <w:r>
              <w:rPr>
                <w:rFonts w:hint="eastAsia" w:ascii="宋体" w:hAnsi="宋体"/>
                <w:sz w:val="22"/>
              </w:rPr>
              <w:t>成品油零售经营资格初审转报</w:t>
            </w:r>
          </w:p>
        </w:tc>
        <w:tc>
          <w:tcPr>
            <w:tcW w:w="3135" w:type="dxa"/>
            <w:vMerge w:val="restart"/>
            <w:vAlign w:val="center"/>
          </w:tcPr>
          <w:p>
            <w:pPr>
              <w:autoSpaceDE w:val="0"/>
              <w:autoSpaceDN w:val="0"/>
              <w:spacing w:line="220" w:lineRule="exact"/>
              <w:rPr>
                <w:rFonts w:hint="eastAsia" w:ascii="仿宋_GB2312" w:hAnsi="黑体" w:eastAsia="仿宋_GB2312" w:cs="宋体"/>
                <w:spacing w:val="-20"/>
                <w:sz w:val="20"/>
                <w:szCs w:val="20"/>
              </w:rPr>
            </w:pPr>
            <w:r>
              <w:rPr>
                <w:rFonts w:hint="eastAsia"/>
                <w:sz w:val="20"/>
                <w:szCs w:val="20"/>
              </w:rPr>
              <w:t xml:space="preserve">  《成品油市场管理办法》（商务部令2006年第23号）第六条:“申请从事成品油零售经营资格的企业，应当向所在地市级（设区的市，下同）人民政府商务主管部门提出申请。地市级人民政府商务主管部门审查后，将初步审查意见及申请材料报省级人民政府商务主管部门。由省级人民政府商务主管部门决定是否给予成品油零售经营许可。” </w:t>
            </w: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仿宋_GB2312" w:hAnsi="仿宋_GB2312" w:eastAsia="仿宋_GB2312"/>
                <w:spacing w:val="-20"/>
                <w:sz w:val="20"/>
                <w:szCs w:val="20"/>
              </w:rPr>
              <w:t>受理</w:t>
            </w:r>
          </w:p>
        </w:tc>
        <w:tc>
          <w:tcPr>
            <w:tcW w:w="3775" w:type="dxa"/>
            <w:vAlign w:val="center"/>
          </w:tcPr>
          <w:p>
            <w:pPr>
              <w:autoSpaceDE w:val="0"/>
              <w:autoSpaceDN w:val="0"/>
              <w:spacing w:line="240" w:lineRule="exact"/>
              <w:rPr>
                <w:rFonts w:hint="eastAsia" w:ascii="仿宋_GB2312" w:hAnsi="黑体" w:eastAsia="仿宋_GB2312" w:cs="宋体"/>
                <w:sz w:val="22"/>
              </w:rPr>
            </w:pPr>
            <w:r>
              <w:rPr>
                <w:rFonts w:hint="eastAsia"/>
                <w:color w:val="000000"/>
                <w:sz w:val="20"/>
                <w:szCs w:val="20"/>
              </w:rPr>
              <w:t>1.受理阶段责任：公示依法应当提交的材料；一次性告知补正材料；依法受理或不予受理（不予受理的告知理由）。</w:t>
            </w:r>
          </w:p>
        </w:tc>
        <w:tc>
          <w:tcPr>
            <w:tcW w:w="1161" w:type="dxa"/>
            <w:vAlign w:val="center"/>
          </w:tcPr>
          <w:p>
            <w:pPr>
              <w:spacing w:line="300" w:lineRule="exact"/>
              <w:jc w:val="center"/>
              <w:rPr>
                <w:rFonts w:hint="eastAsia" w:ascii="仿宋_GB2312" w:hAnsi="黑体" w:eastAsia="仿宋_GB2312" w:cs="宋体"/>
                <w:sz w:val="20"/>
                <w:szCs w:val="20"/>
                <w:lang w:eastAsia="zh-CN"/>
              </w:rPr>
            </w:pPr>
            <w:r>
              <w:rPr>
                <w:rFonts w:hint="eastAsia" w:ascii="仿宋_GB2312" w:hAnsi="黑体" w:eastAsia="仿宋_GB2312" w:cs="宋体"/>
                <w:sz w:val="20"/>
                <w:szCs w:val="20"/>
                <w:lang w:val="en-US" w:eastAsia="zh-CN"/>
              </w:rPr>
              <w:t>商贸服务管理股</w:t>
            </w:r>
          </w:p>
        </w:tc>
        <w:tc>
          <w:tcPr>
            <w:tcW w:w="849"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1</w:t>
            </w:r>
          </w:p>
        </w:tc>
        <w:tc>
          <w:tcPr>
            <w:tcW w:w="813" w:type="dxa"/>
            <w:vMerge w:val="restart"/>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20</w:t>
            </w:r>
          </w:p>
        </w:tc>
        <w:tc>
          <w:tcPr>
            <w:tcW w:w="1450" w:type="dxa"/>
            <w:vMerge w:val="restart"/>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仿宋_GB2312" w:hAnsi="仿宋_GB2312" w:eastAsia="仿宋_GB2312"/>
                <w:spacing w:val="-20"/>
                <w:sz w:val="20"/>
                <w:szCs w:val="20"/>
              </w:rPr>
              <w:t>审查</w:t>
            </w:r>
          </w:p>
        </w:tc>
        <w:tc>
          <w:tcPr>
            <w:tcW w:w="3775" w:type="dxa"/>
            <w:vAlign w:val="center"/>
          </w:tcPr>
          <w:p>
            <w:pPr>
              <w:autoSpaceDE w:val="0"/>
              <w:autoSpaceDN w:val="0"/>
              <w:spacing w:line="240" w:lineRule="exact"/>
              <w:rPr>
                <w:rFonts w:hint="eastAsia" w:ascii="仿宋_GB2312" w:hAnsi="仿宋_GB2312" w:eastAsia="仿宋_GB2312"/>
                <w:spacing w:val="-20"/>
                <w:sz w:val="20"/>
                <w:szCs w:val="20"/>
              </w:rPr>
            </w:pPr>
            <w:r>
              <w:rPr>
                <w:rFonts w:hint="eastAsia"/>
                <w:color w:val="000000"/>
                <w:sz w:val="20"/>
                <w:szCs w:val="20"/>
              </w:rPr>
              <w:t>2.审查阶段责任：材料审核；提出初审意见。</w:t>
            </w:r>
          </w:p>
        </w:tc>
        <w:tc>
          <w:tcPr>
            <w:tcW w:w="1161" w:type="dxa"/>
            <w:vAlign w:val="center"/>
          </w:tcPr>
          <w:p>
            <w:pPr>
              <w:spacing w:line="200" w:lineRule="exact"/>
              <w:jc w:val="center"/>
              <w:rPr>
                <w:rFonts w:hint="eastAsia" w:ascii="仿宋_GB2312" w:hAnsi="黑体" w:eastAsia="仿宋_GB2312" w:cs="宋体"/>
                <w:sz w:val="20"/>
                <w:szCs w:val="20"/>
              </w:rPr>
            </w:pPr>
            <w:r>
              <w:rPr>
                <w:rFonts w:hint="eastAsia" w:ascii="仿宋_GB2312" w:hAnsi="黑体" w:eastAsia="仿宋_GB2312" w:cs="宋体"/>
                <w:sz w:val="20"/>
                <w:szCs w:val="20"/>
                <w:lang w:val="en-US" w:eastAsia="zh-CN"/>
              </w:rPr>
              <w:t>商贸服务管理股</w:t>
            </w:r>
          </w:p>
        </w:tc>
        <w:tc>
          <w:tcPr>
            <w:tcW w:w="849" w:type="dxa"/>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9</w:t>
            </w:r>
          </w:p>
        </w:tc>
        <w:tc>
          <w:tcPr>
            <w:tcW w:w="813" w:type="dxa"/>
            <w:vMerge w:val="continue"/>
            <w:vAlign w:val="center"/>
          </w:tcPr>
          <w:p>
            <w:pPr>
              <w:spacing w:line="560" w:lineRule="exact"/>
              <w:jc w:val="center"/>
              <w:rPr>
                <w:rFonts w:hint="eastAsia" w:ascii="仿宋_GB2312" w:hAnsi="黑体" w:eastAsia="仿宋_GB2312" w:cs="宋体"/>
                <w:sz w:val="22"/>
              </w:rPr>
            </w:pPr>
          </w:p>
        </w:tc>
        <w:tc>
          <w:tcPr>
            <w:tcW w:w="1450"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仿宋_GB2312" w:hAnsi="仿宋_GB2312" w:eastAsia="仿宋_GB2312"/>
                <w:spacing w:val="-20"/>
                <w:sz w:val="20"/>
                <w:szCs w:val="20"/>
              </w:rPr>
              <w:t>决定</w:t>
            </w:r>
          </w:p>
        </w:tc>
        <w:tc>
          <w:tcPr>
            <w:tcW w:w="3775" w:type="dxa"/>
            <w:vAlign w:val="center"/>
          </w:tcPr>
          <w:p>
            <w:pPr>
              <w:autoSpaceDE w:val="0"/>
              <w:autoSpaceDN w:val="0"/>
              <w:spacing w:line="240" w:lineRule="exact"/>
              <w:rPr>
                <w:rFonts w:hint="eastAsia" w:ascii="仿宋_GB2312" w:hAnsi="仿宋_GB2312" w:eastAsia="仿宋_GB2312"/>
                <w:spacing w:val="-20"/>
                <w:sz w:val="20"/>
                <w:szCs w:val="20"/>
              </w:rPr>
            </w:pPr>
            <w:r>
              <w:rPr>
                <w:rFonts w:hint="eastAsia"/>
                <w:color w:val="000000"/>
                <w:sz w:val="20"/>
                <w:szCs w:val="20"/>
              </w:rPr>
              <w:t>3.决定阶段责任：作出初审批准或者不批准的决定（不批准的告知理由）；按时办结；法定告知。</w:t>
            </w:r>
          </w:p>
        </w:tc>
        <w:tc>
          <w:tcPr>
            <w:tcW w:w="1161" w:type="dxa"/>
            <w:vAlign w:val="center"/>
          </w:tcPr>
          <w:p>
            <w:pPr>
              <w:spacing w:line="200" w:lineRule="exact"/>
              <w:jc w:val="center"/>
              <w:rPr>
                <w:rFonts w:hint="eastAsia" w:ascii="仿宋_GB2312" w:hAnsi="黑体" w:eastAsia="仿宋_GB2312" w:cs="宋体"/>
                <w:sz w:val="20"/>
                <w:szCs w:val="20"/>
              </w:rPr>
            </w:pPr>
            <w:r>
              <w:rPr>
                <w:rFonts w:hint="eastAsia" w:ascii="仿宋_GB2312" w:hAnsi="黑体" w:eastAsia="仿宋_GB2312" w:cs="宋体"/>
                <w:sz w:val="20"/>
                <w:szCs w:val="20"/>
                <w:lang w:val="en-US" w:eastAsia="zh-CN"/>
              </w:rPr>
              <w:t>商贸服务管理股</w:t>
            </w:r>
          </w:p>
        </w:tc>
        <w:tc>
          <w:tcPr>
            <w:tcW w:w="849" w:type="dxa"/>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5</w:t>
            </w:r>
          </w:p>
        </w:tc>
        <w:tc>
          <w:tcPr>
            <w:tcW w:w="813" w:type="dxa"/>
            <w:vMerge w:val="continue"/>
            <w:vAlign w:val="center"/>
          </w:tcPr>
          <w:p>
            <w:pPr>
              <w:spacing w:line="560" w:lineRule="exact"/>
              <w:jc w:val="center"/>
              <w:rPr>
                <w:rFonts w:hint="eastAsia" w:ascii="仿宋_GB2312" w:hAnsi="黑体" w:eastAsia="仿宋_GB2312" w:cs="宋体"/>
                <w:sz w:val="22"/>
              </w:rPr>
            </w:pPr>
          </w:p>
        </w:tc>
        <w:tc>
          <w:tcPr>
            <w:tcW w:w="1450"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仿宋_GB2312" w:hAnsi="仿宋_GB2312" w:eastAsia="仿宋_GB2312"/>
                <w:spacing w:val="-20"/>
                <w:sz w:val="20"/>
                <w:szCs w:val="20"/>
              </w:rPr>
              <w:t>送达</w:t>
            </w:r>
          </w:p>
        </w:tc>
        <w:tc>
          <w:tcPr>
            <w:tcW w:w="3775" w:type="dxa"/>
            <w:vAlign w:val="center"/>
          </w:tcPr>
          <w:p>
            <w:pPr>
              <w:autoSpaceDE w:val="0"/>
              <w:autoSpaceDN w:val="0"/>
              <w:spacing w:line="240" w:lineRule="exact"/>
              <w:rPr>
                <w:rFonts w:hint="eastAsia" w:ascii="仿宋_GB2312" w:hAnsi="仿宋_GB2312" w:eastAsia="仿宋_GB2312"/>
                <w:spacing w:val="-20"/>
                <w:sz w:val="20"/>
                <w:szCs w:val="20"/>
              </w:rPr>
            </w:pPr>
            <w:r>
              <w:rPr>
                <w:rFonts w:hint="eastAsia"/>
                <w:color w:val="000000"/>
                <w:sz w:val="20"/>
                <w:szCs w:val="20"/>
              </w:rPr>
              <w:t>4.送达阶段责任：制发</w:t>
            </w:r>
            <w:r>
              <w:rPr>
                <w:rFonts w:hint="eastAsia"/>
                <w:color w:val="000000"/>
                <w:sz w:val="20"/>
                <w:szCs w:val="20"/>
                <w:lang w:eastAsia="zh-CN"/>
              </w:rPr>
              <w:t>转报</w:t>
            </w:r>
            <w:r>
              <w:rPr>
                <w:rFonts w:hint="eastAsia"/>
                <w:color w:val="000000"/>
                <w:sz w:val="20"/>
                <w:szCs w:val="20"/>
              </w:rPr>
              <w:t>文书</w:t>
            </w:r>
            <w:r>
              <w:rPr>
                <w:rFonts w:hint="eastAsia"/>
                <w:color w:val="000000"/>
                <w:sz w:val="20"/>
                <w:szCs w:val="20"/>
                <w:lang w:eastAsia="zh-CN"/>
              </w:rPr>
              <w:t>，送达</w:t>
            </w:r>
            <w:r>
              <w:rPr>
                <w:rFonts w:hint="eastAsia"/>
                <w:color w:val="000000"/>
                <w:sz w:val="20"/>
                <w:szCs w:val="20"/>
                <w:lang w:val="en-US" w:eastAsia="zh-CN"/>
              </w:rPr>
              <w:t>市</w:t>
            </w:r>
            <w:r>
              <w:rPr>
                <w:rFonts w:hint="eastAsia"/>
                <w:color w:val="000000"/>
                <w:sz w:val="20"/>
                <w:szCs w:val="20"/>
                <w:lang w:eastAsia="zh-CN"/>
              </w:rPr>
              <w:t>商务</w:t>
            </w:r>
            <w:r>
              <w:rPr>
                <w:rFonts w:hint="eastAsia"/>
                <w:color w:val="000000"/>
                <w:sz w:val="20"/>
                <w:szCs w:val="20"/>
                <w:lang w:val="en-US" w:eastAsia="zh-CN"/>
              </w:rPr>
              <w:t>局</w:t>
            </w:r>
            <w:r>
              <w:rPr>
                <w:rFonts w:hint="eastAsia"/>
                <w:color w:val="000000"/>
                <w:sz w:val="20"/>
                <w:szCs w:val="20"/>
              </w:rPr>
              <w:t>；信息公开。</w:t>
            </w:r>
          </w:p>
        </w:tc>
        <w:tc>
          <w:tcPr>
            <w:tcW w:w="1161" w:type="dxa"/>
            <w:vAlign w:val="center"/>
          </w:tcPr>
          <w:p>
            <w:pPr>
              <w:spacing w:line="200" w:lineRule="exact"/>
              <w:jc w:val="center"/>
              <w:rPr>
                <w:rFonts w:hint="eastAsia" w:ascii="仿宋_GB2312" w:hAnsi="黑体" w:eastAsia="仿宋_GB2312" w:cs="宋体"/>
                <w:sz w:val="20"/>
                <w:szCs w:val="20"/>
              </w:rPr>
            </w:pPr>
            <w:r>
              <w:rPr>
                <w:rFonts w:hint="eastAsia" w:ascii="仿宋_GB2312" w:hAnsi="黑体" w:eastAsia="仿宋_GB2312" w:cs="宋体"/>
                <w:sz w:val="20"/>
                <w:szCs w:val="20"/>
                <w:lang w:val="en-US" w:eastAsia="zh-CN"/>
              </w:rPr>
              <w:t>商贸服务管理股</w:t>
            </w:r>
          </w:p>
        </w:tc>
        <w:tc>
          <w:tcPr>
            <w:tcW w:w="849" w:type="dxa"/>
            <w:vAlign w:val="center"/>
          </w:tcPr>
          <w:p>
            <w:pPr>
              <w:spacing w:line="560" w:lineRule="exact"/>
              <w:jc w:val="center"/>
              <w:rPr>
                <w:rFonts w:hint="eastAsia" w:ascii="仿宋_GB2312" w:hAnsi="黑体" w:eastAsia="仿宋_GB2312" w:cs="宋体"/>
                <w:sz w:val="22"/>
                <w:lang w:eastAsia="zh-CN"/>
              </w:rPr>
            </w:pPr>
            <w:r>
              <w:rPr>
                <w:rFonts w:hint="eastAsia" w:ascii="仿宋_GB2312" w:hAnsi="黑体" w:eastAsia="仿宋_GB2312" w:cs="宋体"/>
                <w:sz w:val="22"/>
                <w:lang w:val="en-US" w:eastAsia="zh-CN"/>
              </w:rPr>
              <w:t>5</w:t>
            </w:r>
          </w:p>
        </w:tc>
        <w:tc>
          <w:tcPr>
            <w:tcW w:w="813" w:type="dxa"/>
            <w:vMerge w:val="continue"/>
            <w:vAlign w:val="center"/>
          </w:tcPr>
          <w:p>
            <w:pPr>
              <w:spacing w:line="560" w:lineRule="exact"/>
              <w:jc w:val="center"/>
              <w:rPr>
                <w:rFonts w:hint="eastAsia" w:ascii="仿宋_GB2312" w:hAnsi="黑体" w:eastAsia="仿宋_GB2312" w:cs="宋体"/>
                <w:sz w:val="22"/>
              </w:rPr>
            </w:pPr>
          </w:p>
        </w:tc>
        <w:tc>
          <w:tcPr>
            <w:tcW w:w="1450"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仿宋_GB2312" w:hAnsi="仿宋_GB2312" w:eastAsia="仿宋_GB2312"/>
                <w:spacing w:val="-20"/>
                <w:sz w:val="20"/>
                <w:szCs w:val="20"/>
              </w:rPr>
              <w:t>事后监管</w:t>
            </w:r>
          </w:p>
        </w:tc>
        <w:tc>
          <w:tcPr>
            <w:tcW w:w="3775" w:type="dxa"/>
            <w:vAlign w:val="center"/>
          </w:tcPr>
          <w:p>
            <w:pPr>
              <w:autoSpaceDE w:val="0"/>
              <w:autoSpaceDN w:val="0"/>
              <w:spacing w:line="240" w:lineRule="exact"/>
              <w:rPr>
                <w:rFonts w:hint="eastAsia" w:ascii="仿宋_GB2312" w:hAnsi="仿宋_GB2312" w:eastAsia="仿宋_GB2312"/>
                <w:spacing w:val="-20"/>
                <w:sz w:val="20"/>
                <w:szCs w:val="20"/>
              </w:rPr>
            </w:pPr>
            <w:r>
              <w:rPr>
                <w:rFonts w:hint="eastAsia"/>
                <w:color w:val="000000"/>
                <w:sz w:val="20"/>
                <w:szCs w:val="20"/>
              </w:rPr>
              <w:t>5.事后监管责任：开展定期和不定期检查。</w:t>
            </w:r>
          </w:p>
        </w:tc>
        <w:tc>
          <w:tcPr>
            <w:tcW w:w="1161" w:type="dxa"/>
            <w:vAlign w:val="center"/>
          </w:tcPr>
          <w:p>
            <w:pPr>
              <w:spacing w:line="200" w:lineRule="exact"/>
              <w:jc w:val="center"/>
              <w:rPr>
                <w:rFonts w:hint="eastAsia" w:ascii="仿宋_GB2312" w:hAnsi="黑体" w:eastAsia="仿宋_GB2312" w:cs="宋体"/>
                <w:sz w:val="20"/>
                <w:szCs w:val="20"/>
              </w:rPr>
            </w:pPr>
            <w:r>
              <w:rPr>
                <w:rFonts w:hint="eastAsia" w:ascii="仿宋_GB2312" w:hAnsi="黑体" w:eastAsia="仿宋_GB2312" w:cs="宋体"/>
                <w:sz w:val="20"/>
                <w:szCs w:val="20"/>
                <w:lang w:val="en-US" w:eastAsia="zh-CN"/>
              </w:rPr>
              <w:t>商贸服务管理股</w:t>
            </w:r>
          </w:p>
        </w:tc>
        <w:tc>
          <w:tcPr>
            <w:tcW w:w="849" w:type="dxa"/>
            <w:vAlign w:val="center"/>
          </w:tcPr>
          <w:p>
            <w:pPr>
              <w:spacing w:line="560" w:lineRule="exact"/>
              <w:jc w:val="center"/>
              <w:rPr>
                <w:rFonts w:hint="eastAsia" w:ascii="仿宋_GB2312" w:hAnsi="黑体" w:eastAsia="仿宋_GB2312" w:cs="宋体"/>
                <w:sz w:val="22"/>
              </w:rPr>
            </w:pPr>
          </w:p>
        </w:tc>
        <w:tc>
          <w:tcPr>
            <w:tcW w:w="813" w:type="dxa"/>
            <w:vMerge w:val="continue"/>
            <w:vAlign w:val="center"/>
          </w:tcPr>
          <w:p>
            <w:pPr>
              <w:spacing w:line="560" w:lineRule="exact"/>
              <w:jc w:val="center"/>
              <w:rPr>
                <w:rFonts w:hint="eastAsia" w:ascii="仿宋_GB2312" w:hAnsi="黑体" w:eastAsia="仿宋_GB2312" w:cs="宋体"/>
                <w:sz w:val="22"/>
              </w:rPr>
            </w:pPr>
          </w:p>
        </w:tc>
        <w:tc>
          <w:tcPr>
            <w:tcW w:w="1450"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p>
        </w:tc>
        <w:tc>
          <w:tcPr>
            <w:tcW w:w="3775" w:type="dxa"/>
            <w:vAlign w:val="center"/>
          </w:tcPr>
          <w:p>
            <w:pPr>
              <w:autoSpaceDE w:val="0"/>
              <w:autoSpaceDN w:val="0"/>
              <w:spacing w:line="240" w:lineRule="exact"/>
              <w:rPr>
                <w:rFonts w:hint="eastAsia" w:ascii="仿宋_GB2312" w:hAnsi="仿宋_GB2312" w:eastAsia="仿宋_GB2312"/>
                <w:spacing w:val="-20"/>
                <w:sz w:val="20"/>
                <w:szCs w:val="20"/>
              </w:rPr>
            </w:pPr>
            <w:r>
              <w:rPr>
                <w:rFonts w:hint="eastAsia"/>
                <w:color w:val="000000"/>
                <w:sz w:val="20"/>
                <w:szCs w:val="20"/>
              </w:rPr>
              <w:t>6.其他法律法规规章文件规定应履行的责任。</w:t>
            </w:r>
          </w:p>
        </w:tc>
        <w:tc>
          <w:tcPr>
            <w:tcW w:w="1161" w:type="dxa"/>
            <w:vAlign w:val="center"/>
          </w:tcPr>
          <w:p>
            <w:pPr>
              <w:spacing w:line="200" w:lineRule="exact"/>
              <w:jc w:val="center"/>
              <w:rPr>
                <w:rFonts w:hint="eastAsia" w:ascii="仿宋_GB2312" w:hAnsi="黑体" w:eastAsia="仿宋_GB2312" w:cs="宋体"/>
                <w:sz w:val="20"/>
                <w:szCs w:val="20"/>
              </w:rPr>
            </w:pPr>
            <w:r>
              <w:rPr>
                <w:rFonts w:hint="eastAsia" w:ascii="仿宋_GB2312" w:hAnsi="黑体" w:eastAsia="仿宋_GB2312" w:cs="宋体"/>
                <w:sz w:val="20"/>
                <w:szCs w:val="20"/>
                <w:lang w:val="en-US" w:eastAsia="zh-CN"/>
              </w:rPr>
              <w:t>商贸服务管理股</w:t>
            </w:r>
          </w:p>
        </w:tc>
        <w:tc>
          <w:tcPr>
            <w:tcW w:w="849" w:type="dxa"/>
            <w:vAlign w:val="center"/>
          </w:tcPr>
          <w:p>
            <w:pPr>
              <w:spacing w:line="560" w:lineRule="exact"/>
              <w:jc w:val="center"/>
              <w:rPr>
                <w:rFonts w:hint="eastAsia" w:ascii="仿宋_GB2312" w:hAnsi="黑体" w:eastAsia="仿宋_GB2312" w:cs="宋体"/>
                <w:sz w:val="22"/>
              </w:rPr>
            </w:pPr>
          </w:p>
        </w:tc>
        <w:tc>
          <w:tcPr>
            <w:tcW w:w="813" w:type="dxa"/>
            <w:vMerge w:val="continue"/>
            <w:vAlign w:val="center"/>
          </w:tcPr>
          <w:p>
            <w:pPr>
              <w:spacing w:line="560" w:lineRule="exact"/>
              <w:jc w:val="center"/>
              <w:rPr>
                <w:rFonts w:hint="eastAsia" w:ascii="仿宋_GB2312" w:hAnsi="黑体" w:eastAsia="仿宋_GB2312" w:cs="宋体"/>
                <w:sz w:val="22"/>
              </w:rPr>
            </w:pPr>
          </w:p>
        </w:tc>
        <w:tc>
          <w:tcPr>
            <w:tcW w:w="1450"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12" w:hRule="atLeast"/>
          <w:jc w:val="center"/>
        </w:trPr>
        <w:tc>
          <w:tcPr>
            <w:tcW w:w="14174"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服务电话：</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投诉机构：</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商务举报投诉服务站</w:t>
            </w:r>
            <w:r>
              <w:rPr>
                <w:rFonts w:hint="eastAsia" w:ascii="仿宋_GB2312" w:hAnsi="黑体" w:eastAsia="仿宋_GB2312" w:cs="宋体"/>
                <w:sz w:val="22"/>
              </w:rPr>
              <w:t xml:space="preserve">      投诉电话：0394-</w:t>
            </w:r>
            <w:r>
              <w:rPr>
                <w:rFonts w:hint="eastAsia" w:ascii="仿宋_GB2312" w:hAnsi="黑体" w:eastAsia="仿宋_GB2312" w:cs="宋体"/>
                <w:sz w:val="22"/>
                <w:lang w:val="en-US" w:eastAsia="zh-CN"/>
              </w:rPr>
              <w:t>3229596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12" w:hRule="atLeast"/>
          <w:jc w:val="center"/>
        </w:trPr>
        <w:tc>
          <w:tcPr>
            <w:tcW w:w="14174"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受理地点：</w:t>
            </w:r>
            <w:r>
              <w:rPr>
                <w:rFonts w:hint="eastAsia" w:ascii="仿宋_GB2312" w:hAnsi="黑体" w:eastAsia="仿宋_GB2312" w:cs="宋体"/>
                <w:sz w:val="22"/>
                <w:lang w:val="en-US" w:eastAsia="zh-CN"/>
              </w:rPr>
              <w:t>郸城县世纪大道南段商务局二楼</w:t>
            </w:r>
          </w:p>
        </w:tc>
      </w:tr>
    </w:tbl>
    <w:p>
      <w:pPr>
        <w:ind w:firstLine="420" w:firstLineChars="200"/>
      </w:pPr>
    </w:p>
    <w:p>
      <w:pPr>
        <w:spacing w:line="560" w:lineRule="exact"/>
        <w:jc w:val="center"/>
        <w:rPr>
          <w:rFonts w:hint="eastAsia" w:ascii="黑体" w:eastAsia="黑体"/>
          <w:sz w:val="32"/>
          <w:szCs w:val="32"/>
          <w:lang w:val="zh-CN" w:eastAsia="zh-CN"/>
        </w:rPr>
      </w:pPr>
      <w:r>
        <w:br w:type="page"/>
      </w:r>
      <w:r>
        <w:rPr>
          <w:rFonts w:hint="eastAsia" w:ascii="黑体" w:eastAsia="黑体"/>
          <w:sz w:val="32"/>
          <w:szCs w:val="32"/>
          <w:lang w:val="en-US" w:eastAsia="zh-CN"/>
        </w:rPr>
        <w:t>郸城县</w:t>
      </w:r>
      <w:r>
        <w:rPr>
          <w:rFonts w:hint="eastAsia" w:ascii="黑体" w:eastAsia="黑体"/>
          <w:sz w:val="32"/>
          <w:szCs w:val="32"/>
          <w:lang w:val="zh-CN" w:eastAsia="zh-CN"/>
        </w:rPr>
        <w:t>商务局责任清单</w:t>
      </w:r>
    </w:p>
    <w:p>
      <w:pPr>
        <w:spacing w:line="560" w:lineRule="exact"/>
        <w:ind w:firstLine="440" w:firstLineChars="200"/>
        <w:rPr>
          <w:rFonts w:hint="eastAsia" w:ascii="仿宋_GB2312" w:hAnsi="黑体" w:eastAsia="仿宋_GB2312" w:cs="宋体"/>
          <w:sz w:val="22"/>
        </w:rPr>
      </w:pPr>
      <w:r>
        <w:rPr>
          <w:rFonts w:hint="eastAsia" w:ascii="仿宋_GB2312" w:hAnsi="黑体" w:eastAsia="仿宋_GB2312" w:cs="宋体"/>
          <w:sz w:val="22"/>
        </w:rPr>
        <w:t>职权类别：其他职权</w:t>
      </w:r>
    </w:p>
    <w:tbl>
      <w:tblPr>
        <w:tblStyle w:val="6"/>
        <w:tblW w:w="14174"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18"/>
        <w:gridCol w:w="1199"/>
        <w:gridCol w:w="3135"/>
        <w:gridCol w:w="1074"/>
        <w:gridCol w:w="3775"/>
        <w:gridCol w:w="1161"/>
        <w:gridCol w:w="849"/>
        <w:gridCol w:w="813"/>
        <w:gridCol w:w="145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8" w:hRule="atLeast"/>
          <w:jc w:val="center"/>
        </w:trPr>
        <w:tc>
          <w:tcPr>
            <w:tcW w:w="718"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序号</w:t>
            </w:r>
          </w:p>
        </w:tc>
        <w:tc>
          <w:tcPr>
            <w:tcW w:w="119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职权名称</w:t>
            </w:r>
          </w:p>
        </w:tc>
        <w:tc>
          <w:tcPr>
            <w:tcW w:w="313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实施依据</w:t>
            </w:r>
          </w:p>
        </w:tc>
        <w:tc>
          <w:tcPr>
            <w:tcW w:w="1074"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办理</w:t>
            </w:r>
          </w:p>
          <w:p>
            <w:pPr>
              <w:spacing w:line="360" w:lineRule="exact"/>
              <w:jc w:val="center"/>
              <w:rPr>
                <w:rFonts w:hint="eastAsia" w:ascii="黑体" w:hAnsi="黑体" w:eastAsia="黑体" w:cs="黑体"/>
                <w:sz w:val="22"/>
              </w:rPr>
            </w:pPr>
            <w:r>
              <w:rPr>
                <w:rFonts w:hint="eastAsia" w:ascii="黑体" w:hAnsi="黑体" w:eastAsia="黑体" w:cs="黑体"/>
                <w:sz w:val="22"/>
              </w:rPr>
              <w:t>环节</w:t>
            </w:r>
          </w:p>
        </w:tc>
        <w:tc>
          <w:tcPr>
            <w:tcW w:w="377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责任事项</w:t>
            </w:r>
          </w:p>
        </w:tc>
        <w:tc>
          <w:tcPr>
            <w:tcW w:w="1161"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w:t>
            </w:r>
            <w:r>
              <w:rPr>
                <w:rFonts w:hint="eastAsia" w:ascii="黑体" w:hAnsi="黑体" w:eastAsia="黑体" w:cs="黑体"/>
                <w:sz w:val="22"/>
                <w:lang w:val="en-US" w:eastAsia="zh-CN"/>
              </w:rPr>
              <w:t>股</w:t>
            </w:r>
            <w:r>
              <w:rPr>
                <w:rFonts w:hint="eastAsia" w:ascii="黑体" w:hAnsi="黑体" w:eastAsia="黑体" w:cs="黑体"/>
                <w:sz w:val="22"/>
              </w:rPr>
              <w:t>室</w:t>
            </w:r>
          </w:p>
        </w:tc>
        <w:tc>
          <w:tcPr>
            <w:tcW w:w="84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承诺时限</w:t>
            </w:r>
          </w:p>
        </w:tc>
        <w:tc>
          <w:tcPr>
            <w:tcW w:w="813"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法定时限</w:t>
            </w:r>
          </w:p>
        </w:tc>
        <w:tc>
          <w:tcPr>
            <w:tcW w:w="1450"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restart"/>
            <w:vAlign w:val="center"/>
          </w:tcPr>
          <w:p>
            <w:pPr>
              <w:spacing w:line="560" w:lineRule="exact"/>
              <w:jc w:val="center"/>
              <w:rPr>
                <w:rFonts w:hint="eastAsia" w:ascii="仿宋_GB2312" w:hAnsi="黑体" w:eastAsia="仿宋_GB2312" w:cs="宋体"/>
                <w:sz w:val="22"/>
                <w:lang w:eastAsia="zh-CN"/>
              </w:rPr>
            </w:pPr>
            <w:r>
              <w:rPr>
                <w:rFonts w:hint="eastAsia" w:ascii="仿宋_GB2312" w:hAnsi="黑体" w:eastAsia="仿宋_GB2312" w:cs="宋体"/>
                <w:sz w:val="22"/>
                <w:lang w:val="en-US" w:eastAsia="zh-CN"/>
              </w:rPr>
              <w:t>59</w:t>
            </w:r>
          </w:p>
        </w:tc>
        <w:tc>
          <w:tcPr>
            <w:tcW w:w="1199" w:type="dxa"/>
            <w:vMerge w:val="restart"/>
            <w:vAlign w:val="center"/>
          </w:tcPr>
          <w:p>
            <w:pPr>
              <w:autoSpaceDE w:val="0"/>
              <w:autoSpaceDN w:val="0"/>
              <w:spacing w:line="300" w:lineRule="exact"/>
              <w:rPr>
                <w:rFonts w:hint="eastAsia" w:ascii="仿宋_GB2312" w:hAnsi="黑体" w:eastAsia="仿宋_GB2312" w:cs="宋体"/>
                <w:spacing w:val="-20"/>
                <w:sz w:val="22"/>
              </w:rPr>
            </w:pPr>
            <w:r>
              <w:rPr>
                <w:rFonts w:hint="eastAsia" w:ascii="宋体" w:hAnsi="宋体"/>
                <w:sz w:val="18"/>
                <w:szCs w:val="18"/>
              </w:rPr>
              <w:t>成品油批发、仓储经营资格转报</w:t>
            </w:r>
          </w:p>
        </w:tc>
        <w:tc>
          <w:tcPr>
            <w:tcW w:w="3135" w:type="dxa"/>
            <w:vMerge w:val="restart"/>
            <w:vAlign w:val="center"/>
          </w:tcPr>
          <w:p>
            <w:pPr>
              <w:keepNext w:val="0"/>
              <w:keepLines w:val="0"/>
              <w:pageBreakBefore w:val="0"/>
              <w:widowControl w:val="0"/>
              <w:kinsoku/>
              <w:wordWrap/>
              <w:overflowPunct/>
              <w:topLinePunct w:val="0"/>
              <w:autoSpaceDE w:val="0"/>
              <w:autoSpaceDN w:val="0"/>
              <w:bidi w:val="0"/>
              <w:adjustRightInd/>
              <w:snapToGrid/>
              <w:spacing w:line="280" w:lineRule="exact"/>
              <w:ind w:left="0" w:leftChars="0" w:right="0" w:rightChars="0" w:firstLine="0" w:firstLineChars="0"/>
              <w:jc w:val="both"/>
              <w:textAlignment w:val="auto"/>
              <w:outlineLvl w:val="9"/>
              <w:rPr>
                <w:rFonts w:hint="eastAsia" w:ascii="仿宋_GB2312" w:hAnsi="黑体" w:eastAsia="仿宋_GB2312" w:cs="宋体"/>
                <w:spacing w:val="-20"/>
                <w:sz w:val="20"/>
                <w:szCs w:val="20"/>
              </w:rPr>
            </w:pPr>
            <w:r>
              <w:rPr>
                <w:rFonts w:hint="eastAsia" w:ascii="宋体" w:hAnsi="宋体"/>
                <w:sz w:val="20"/>
                <w:szCs w:val="20"/>
              </w:rPr>
              <w:t xml:space="preserve">    《成品油市场管理办法》（商务部令2006年第23号）第二十八条：“成品油批发、仓储经营企业要求变更《成品油批发经营批准证书》或《成品油仓储经营批准证书》事项的，向省级人民政府商务主管部门提出申请。省级人民政府商务主管部门初审合格后，报请商务部审核。对具备继续从事成品油批发或仓储经营条件的，由商务部换发变更的《成品油批发经营批准证书》或《成品油仓储经营批准证书》。”</w:t>
            </w: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仿宋_GB2312" w:hAnsi="仿宋_GB2312" w:eastAsia="仿宋_GB2312"/>
                <w:spacing w:val="-20"/>
                <w:sz w:val="20"/>
                <w:szCs w:val="20"/>
              </w:rPr>
              <w:t>受理</w:t>
            </w:r>
          </w:p>
        </w:tc>
        <w:tc>
          <w:tcPr>
            <w:tcW w:w="3775" w:type="dxa"/>
            <w:vAlign w:val="center"/>
          </w:tcPr>
          <w:p>
            <w:pPr>
              <w:autoSpaceDE w:val="0"/>
              <w:autoSpaceDN w:val="0"/>
              <w:spacing w:line="240" w:lineRule="exact"/>
              <w:rPr>
                <w:rFonts w:hint="eastAsia" w:ascii="仿宋_GB2312" w:hAnsi="黑体" w:eastAsia="仿宋_GB2312" w:cs="宋体"/>
                <w:sz w:val="22"/>
              </w:rPr>
            </w:pPr>
            <w:r>
              <w:rPr>
                <w:rFonts w:hint="eastAsia"/>
                <w:color w:val="000000"/>
                <w:sz w:val="20"/>
                <w:szCs w:val="20"/>
              </w:rPr>
              <w:t>1.受理阶段责任：公示依法应当提交的材料；一次性告知补正材料；依法受理或不予受理（不予受理的告知理由）。</w:t>
            </w:r>
          </w:p>
        </w:tc>
        <w:tc>
          <w:tcPr>
            <w:tcW w:w="1161" w:type="dxa"/>
            <w:vAlign w:val="center"/>
          </w:tcPr>
          <w:p>
            <w:pPr>
              <w:spacing w:line="300" w:lineRule="exact"/>
              <w:jc w:val="center"/>
              <w:rPr>
                <w:rFonts w:hint="eastAsia" w:ascii="仿宋_GB2312" w:hAnsi="黑体" w:eastAsia="仿宋_GB2312" w:cs="宋体"/>
                <w:sz w:val="20"/>
                <w:szCs w:val="20"/>
              </w:rPr>
            </w:pPr>
            <w:r>
              <w:rPr>
                <w:rFonts w:hint="eastAsia" w:ascii="仿宋_GB2312" w:hAnsi="黑体" w:eastAsia="仿宋_GB2312" w:cs="宋体"/>
                <w:sz w:val="20"/>
                <w:szCs w:val="20"/>
                <w:lang w:val="en-US" w:eastAsia="zh-CN"/>
              </w:rPr>
              <w:t>商贸服务管理股</w:t>
            </w:r>
          </w:p>
        </w:tc>
        <w:tc>
          <w:tcPr>
            <w:tcW w:w="849"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1</w:t>
            </w:r>
          </w:p>
        </w:tc>
        <w:tc>
          <w:tcPr>
            <w:tcW w:w="813" w:type="dxa"/>
            <w:vMerge w:val="restart"/>
            <w:vAlign w:val="center"/>
          </w:tcPr>
          <w:p>
            <w:pPr>
              <w:spacing w:line="560" w:lineRule="exact"/>
              <w:jc w:val="center"/>
              <w:rPr>
                <w:rFonts w:hint="eastAsia" w:ascii="仿宋_GB2312" w:hAnsi="黑体" w:eastAsia="仿宋_GB2312" w:cs="宋体"/>
                <w:sz w:val="22"/>
              </w:rPr>
            </w:pPr>
          </w:p>
        </w:tc>
        <w:tc>
          <w:tcPr>
            <w:tcW w:w="1450" w:type="dxa"/>
            <w:vMerge w:val="restart"/>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仿宋_GB2312" w:hAnsi="仿宋_GB2312" w:eastAsia="仿宋_GB2312"/>
                <w:spacing w:val="-20"/>
                <w:sz w:val="20"/>
                <w:szCs w:val="20"/>
              </w:rPr>
              <w:t>审查</w:t>
            </w:r>
          </w:p>
        </w:tc>
        <w:tc>
          <w:tcPr>
            <w:tcW w:w="3775" w:type="dxa"/>
            <w:vAlign w:val="center"/>
          </w:tcPr>
          <w:p>
            <w:pPr>
              <w:autoSpaceDE w:val="0"/>
              <w:autoSpaceDN w:val="0"/>
              <w:spacing w:line="240" w:lineRule="exact"/>
              <w:rPr>
                <w:rFonts w:hint="eastAsia" w:ascii="仿宋_GB2312" w:hAnsi="仿宋_GB2312" w:eastAsia="仿宋_GB2312"/>
                <w:spacing w:val="-20"/>
                <w:sz w:val="20"/>
                <w:szCs w:val="20"/>
              </w:rPr>
            </w:pPr>
            <w:r>
              <w:rPr>
                <w:rFonts w:hint="eastAsia"/>
                <w:color w:val="000000"/>
                <w:sz w:val="20"/>
                <w:szCs w:val="20"/>
              </w:rPr>
              <w:t>2.审查阶段责任：材料审核；提出初审意见。</w:t>
            </w:r>
          </w:p>
        </w:tc>
        <w:tc>
          <w:tcPr>
            <w:tcW w:w="1161" w:type="dxa"/>
            <w:vAlign w:val="center"/>
          </w:tcPr>
          <w:p>
            <w:pPr>
              <w:spacing w:line="200" w:lineRule="exact"/>
              <w:jc w:val="center"/>
              <w:rPr>
                <w:rFonts w:hint="eastAsia" w:ascii="仿宋_GB2312" w:hAnsi="黑体" w:eastAsia="仿宋_GB2312" w:cs="宋体"/>
                <w:sz w:val="20"/>
                <w:szCs w:val="20"/>
              </w:rPr>
            </w:pPr>
            <w:r>
              <w:rPr>
                <w:rFonts w:hint="eastAsia" w:ascii="仿宋_GB2312" w:hAnsi="黑体" w:eastAsia="仿宋_GB2312" w:cs="宋体"/>
                <w:sz w:val="20"/>
                <w:szCs w:val="20"/>
                <w:lang w:val="en-US" w:eastAsia="zh-CN"/>
              </w:rPr>
              <w:t>商贸服务管理股</w:t>
            </w:r>
          </w:p>
        </w:tc>
        <w:tc>
          <w:tcPr>
            <w:tcW w:w="849" w:type="dxa"/>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3</w:t>
            </w:r>
          </w:p>
        </w:tc>
        <w:tc>
          <w:tcPr>
            <w:tcW w:w="813" w:type="dxa"/>
            <w:vMerge w:val="continue"/>
            <w:vAlign w:val="center"/>
          </w:tcPr>
          <w:p>
            <w:pPr>
              <w:spacing w:line="560" w:lineRule="exact"/>
              <w:jc w:val="center"/>
              <w:rPr>
                <w:rFonts w:hint="eastAsia" w:ascii="仿宋_GB2312" w:hAnsi="黑体" w:eastAsia="仿宋_GB2312" w:cs="宋体"/>
                <w:sz w:val="22"/>
              </w:rPr>
            </w:pPr>
          </w:p>
        </w:tc>
        <w:tc>
          <w:tcPr>
            <w:tcW w:w="1450"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仿宋_GB2312" w:hAnsi="仿宋_GB2312" w:eastAsia="仿宋_GB2312"/>
                <w:spacing w:val="-20"/>
                <w:sz w:val="20"/>
                <w:szCs w:val="20"/>
              </w:rPr>
              <w:t>决定</w:t>
            </w:r>
          </w:p>
        </w:tc>
        <w:tc>
          <w:tcPr>
            <w:tcW w:w="3775" w:type="dxa"/>
            <w:vAlign w:val="center"/>
          </w:tcPr>
          <w:p>
            <w:pPr>
              <w:autoSpaceDE w:val="0"/>
              <w:autoSpaceDN w:val="0"/>
              <w:spacing w:line="240" w:lineRule="exact"/>
              <w:rPr>
                <w:rFonts w:hint="eastAsia" w:ascii="仿宋_GB2312" w:hAnsi="仿宋_GB2312" w:eastAsia="仿宋_GB2312"/>
                <w:spacing w:val="-20"/>
                <w:sz w:val="20"/>
                <w:szCs w:val="20"/>
              </w:rPr>
            </w:pPr>
            <w:r>
              <w:rPr>
                <w:rFonts w:hint="eastAsia"/>
                <w:color w:val="000000"/>
                <w:sz w:val="20"/>
                <w:szCs w:val="20"/>
              </w:rPr>
              <w:t>3.决定阶段责任：作出初审批准或者不批准的决定（不批准的告知理由）；按时办结；法定告知。</w:t>
            </w:r>
          </w:p>
        </w:tc>
        <w:tc>
          <w:tcPr>
            <w:tcW w:w="1161" w:type="dxa"/>
            <w:vAlign w:val="center"/>
          </w:tcPr>
          <w:p>
            <w:pPr>
              <w:spacing w:line="200" w:lineRule="exact"/>
              <w:jc w:val="center"/>
              <w:rPr>
                <w:rFonts w:hint="eastAsia" w:ascii="仿宋_GB2312" w:hAnsi="黑体" w:eastAsia="仿宋_GB2312" w:cs="宋体"/>
                <w:sz w:val="20"/>
                <w:szCs w:val="20"/>
              </w:rPr>
            </w:pPr>
            <w:r>
              <w:rPr>
                <w:rFonts w:hint="eastAsia" w:ascii="仿宋_GB2312" w:hAnsi="黑体" w:eastAsia="仿宋_GB2312" w:cs="宋体"/>
                <w:sz w:val="20"/>
                <w:szCs w:val="20"/>
                <w:lang w:val="en-US" w:eastAsia="zh-CN"/>
              </w:rPr>
              <w:t>商贸服务管理股</w:t>
            </w:r>
          </w:p>
        </w:tc>
        <w:tc>
          <w:tcPr>
            <w:tcW w:w="849" w:type="dxa"/>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5</w:t>
            </w:r>
          </w:p>
        </w:tc>
        <w:tc>
          <w:tcPr>
            <w:tcW w:w="813" w:type="dxa"/>
            <w:vMerge w:val="continue"/>
            <w:vAlign w:val="center"/>
          </w:tcPr>
          <w:p>
            <w:pPr>
              <w:spacing w:line="560" w:lineRule="exact"/>
              <w:jc w:val="center"/>
              <w:rPr>
                <w:rFonts w:hint="eastAsia" w:ascii="仿宋_GB2312" w:hAnsi="黑体" w:eastAsia="仿宋_GB2312" w:cs="宋体"/>
                <w:sz w:val="22"/>
              </w:rPr>
            </w:pPr>
          </w:p>
        </w:tc>
        <w:tc>
          <w:tcPr>
            <w:tcW w:w="1450"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仿宋_GB2312" w:hAnsi="仿宋_GB2312" w:eastAsia="仿宋_GB2312"/>
                <w:spacing w:val="-20"/>
                <w:sz w:val="20"/>
                <w:szCs w:val="20"/>
              </w:rPr>
              <w:t>送达</w:t>
            </w:r>
          </w:p>
        </w:tc>
        <w:tc>
          <w:tcPr>
            <w:tcW w:w="3775" w:type="dxa"/>
            <w:vAlign w:val="center"/>
          </w:tcPr>
          <w:p>
            <w:pPr>
              <w:autoSpaceDE w:val="0"/>
              <w:autoSpaceDN w:val="0"/>
              <w:spacing w:line="240" w:lineRule="exact"/>
              <w:rPr>
                <w:rFonts w:hint="eastAsia" w:ascii="仿宋_GB2312" w:hAnsi="仿宋_GB2312" w:eastAsia="仿宋_GB2312"/>
                <w:spacing w:val="-20"/>
                <w:sz w:val="20"/>
                <w:szCs w:val="20"/>
              </w:rPr>
            </w:pPr>
            <w:r>
              <w:rPr>
                <w:rFonts w:hint="eastAsia"/>
                <w:color w:val="000000"/>
                <w:sz w:val="20"/>
                <w:szCs w:val="20"/>
              </w:rPr>
              <w:t>4.送达阶段责任：制发</w:t>
            </w:r>
            <w:r>
              <w:rPr>
                <w:rFonts w:hint="eastAsia"/>
                <w:color w:val="000000"/>
                <w:sz w:val="20"/>
                <w:szCs w:val="20"/>
                <w:lang w:eastAsia="zh-CN"/>
              </w:rPr>
              <w:t>转报</w:t>
            </w:r>
            <w:r>
              <w:rPr>
                <w:rFonts w:hint="eastAsia"/>
                <w:color w:val="000000"/>
                <w:sz w:val="20"/>
                <w:szCs w:val="20"/>
              </w:rPr>
              <w:t>文书</w:t>
            </w:r>
            <w:r>
              <w:rPr>
                <w:rFonts w:hint="eastAsia"/>
                <w:color w:val="000000"/>
                <w:sz w:val="20"/>
                <w:szCs w:val="20"/>
                <w:lang w:eastAsia="zh-CN"/>
              </w:rPr>
              <w:t>，送达</w:t>
            </w:r>
            <w:r>
              <w:rPr>
                <w:rFonts w:hint="eastAsia"/>
                <w:color w:val="000000"/>
                <w:sz w:val="20"/>
                <w:szCs w:val="20"/>
                <w:lang w:val="en-US" w:eastAsia="zh-CN"/>
              </w:rPr>
              <w:t>市</w:t>
            </w:r>
            <w:r>
              <w:rPr>
                <w:rFonts w:hint="eastAsia"/>
                <w:color w:val="000000"/>
                <w:sz w:val="20"/>
                <w:szCs w:val="20"/>
                <w:lang w:eastAsia="zh-CN"/>
              </w:rPr>
              <w:t>商务</w:t>
            </w:r>
            <w:r>
              <w:rPr>
                <w:rFonts w:hint="eastAsia"/>
                <w:color w:val="000000"/>
                <w:sz w:val="20"/>
                <w:szCs w:val="20"/>
                <w:lang w:val="en-US" w:eastAsia="zh-CN"/>
              </w:rPr>
              <w:t>局</w:t>
            </w:r>
            <w:r>
              <w:rPr>
                <w:rFonts w:hint="eastAsia"/>
                <w:color w:val="000000"/>
                <w:sz w:val="20"/>
                <w:szCs w:val="20"/>
              </w:rPr>
              <w:t>；信息公开。</w:t>
            </w:r>
          </w:p>
        </w:tc>
        <w:tc>
          <w:tcPr>
            <w:tcW w:w="1161" w:type="dxa"/>
            <w:vAlign w:val="center"/>
          </w:tcPr>
          <w:p>
            <w:pPr>
              <w:spacing w:line="200" w:lineRule="exact"/>
              <w:jc w:val="center"/>
              <w:rPr>
                <w:rFonts w:hint="eastAsia" w:ascii="仿宋_GB2312" w:hAnsi="黑体" w:eastAsia="仿宋_GB2312" w:cs="宋体"/>
                <w:sz w:val="20"/>
                <w:szCs w:val="20"/>
              </w:rPr>
            </w:pPr>
            <w:r>
              <w:rPr>
                <w:rFonts w:hint="eastAsia" w:ascii="仿宋_GB2312" w:hAnsi="黑体" w:eastAsia="仿宋_GB2312" w:cs="宋体"/>
                <w:sz w:val="20"/>
                <w:szCs w:val="20"/>
                <w:lang w:val="en-US" w:eastAsia="zh-CN"/>
              </w:rPr>
              <w:t>商贸服务管理股</w:t>
            </w:r>
          </w:p>
        </w:tc>
        <w:tc>
          <w:tcPr>
            <w:tcW w:w="849" w:type="dxa"/>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5</w:t>
            </w:r>
          </w:p>
        </w:tc>
        <w:tc>
          <w:tcPr>
            <w:tcW w:w="813" w:type="dxa"/>
            <w:vMerge w:val="continue"/>
            <w:vAlign w:val="center"/>
          </w:tcPr>
          <w:p>
            <w:pPr>
              <w:spacing w:line="560" w:lineRule="exact"/>
              <w:jc w:val="center"/>
              <w:rPr>
                <w:rFonts w:hint="eastAsia" w:ascii="仿宋_GB2312" w:hAnsi="黑体" w:eastAsia="仿宋_GB2312" w:cs="宋体"/>
                <w:sz w:val="22"/>
              </w:rPr>
            </w:pPr>
          </w:p>
        </w:tc>
        <w:tc>
          <w:tcPr>
            <w:tcW w:w="1450"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仿宋_GB2312" w:hAnsi="仿宋_GB2312" w:eastAsia="仿宋_GB2312"/>
                <w:spacing w:val="-20"/>
                <w:sz w:val="20"/>
                <w:szCs w:val="20"/>
              </w:rPr>
              <w:t>事后监管</w:t>
            </w:r>
          </w:p>
        </w:tc>
        <w:tc>
          <w:tcPr>
            <w:tcW w:w="3775" w:type="dxa"/>
            <w:vAlign w:val="center"/>
          </w:tcPr>
          <w:p>
            <w:pPr>
              <w:autoSpaceDE w:val="0"/>
              <w:autoSpaceDN w:val="0"/>
              <w:spacing w:line="240" w:lineRule="exact"/>
              <w:rPr>
                <w:rFonts w:hint="eastAsia" w:ascii="仿宋_GB2312" w:hAnsi="仿宋_GB2312" w:eastAsia="仿宋_GB2312"/>
                <w:spacing w:val="-20"/>
                <w:sz w:val="20"/>
                <w:szCs w:val="20"/>
              </w:rPr>
            </w:pPr>
            <w:r>
              <w:rPr>
                <w:rFonts w:hint="eastAsia"/>
                <w:color w:val="000000"/>
                <w:sz w:val="20"/>
                <w:szCs w:val="20"/>
              </w:rPr>
              <w:t>5.事后监管责任：开展定期和不定期检查。</w:t>
            </w:r>
          </w:p>
        </w:tc>
        <w:tc>
          <w:tcPr>
            <w:tcW w:w="1161" w:type="dxa"/>
            <w:vAlign w:val="center"/>
          </w:tcPr>
          <w:p>
            <w:pPr>
              <w:spacing w:line="200" w:lineRule="exact"/>
              <w:jc w:val="center"/>
              <w:rPr>
                <w:rFonts w:hint="eastAsia" w:ascii="仿宋_GB2312" w:hAnsi="黑体" w:eastAsia="仿宋_GB2312" w:cs="宋体"/>
                <w:sz w:val="20"/>
                <w:szCs w:val="20"/>
              </w:rPr>
            </w:pPr>
            <w:r>
              <w:rPr>
                <w:rFonts w:hint="eastAsia" w:ascii="仿宋_GB2312" w:hAnsi="黑体" w:eastAsia="仿宋_GB2312" w:cs="宋体"/>
                <w:sz w:val="20"/>
                <w:szCs w:val="20"/>
                <w:lang w:val="en-US" w:eastAsia="zh-CN"/>
              </w:rPr>
              <w:t>商贸服务管理股</w:t>
            </w:r>
          </w:p>
        </w:tc>
        <w:tc>
          <w:tcPr>
            <w:tcW w:w="849" w:type="dxa"/>
            <w:vAlign w:val="center"/>
          </w:tcPr>
          <w:p>
            <w:pPr>
              <w:spacing w:line="560" w:lineRule="exact"/>
              <w:jc w:val="center"/>
              <w:rPr>
                <w:rFonts w:hint="eastAsia" w:ascii="仿宋_GB2312" w:hAnsi="黑体" w:eastAsia="仿宋_GB2312" w:cs="宋体"/>
                <w:sz w:val="22"/>
              </w:rPr>
            </w:pPr>
          </w:p>
        </w:tc>
        <w:tc>
          <w:tcPr>
            <w:tcW w:w="813" w:type="dxa"/>
            <w:vMerge w:val="continue"/>
            <w:vAlign w:val="center"/>
          </w:tcPr>
          <w:p>
            <w:pPr>
              <w:spacing w:line="560" w:lineRule="exact"/>
              <w:jc w:val="center"/>
              <w:rPr>
                <w:rFonts w:hint="eastAsia" w:ascii="仿宋_GB2312" w:hAnsi="黑体" w:eastAsia="仿宋_GB2312" w:cs="宋体"/>
                <w:sz w:val="22"/>
              </w:rPr>
            </w:pPr>
          </w:p>
        </w:tc>
        <w:tc>
          <w:tcPr>
            <w:tcW w:w="1450"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p>
        </w:tc>
        <w:tc>
          <w:tcPr>
            <w:tcW w:w="3775" w:type="dxa"/>
            <w:vAlign w:val="center"/>
          </w:tcPr>
          <w:p>
            <w:pPr>
              <w:autoSpaceDE w:val="0"/>
              <w:autoSpaceDN w:val="0"/>
              <w:spacing w:line="240" w:lineRule="exact"/>
              <w:rPr>
                <w:rFonts w:hint="eastAsia" w:ascii="仿宋_GB2312" w:hAnsi="仿宋_GB2312" w:eastAsia="仿宋_GB2312"/>
                <w:spacing w:val="-20"/>
                <w:sz w:val="20"/>
                <w:szCs w:val="20"/>
              </w:rPr>
            </w:pPr>
            <w:r>
              <w:rPr>
                <w:rFonts w:hint="eastAsia"/>
                <w:color w:val="000000"/>
                <w:sz w:val="20"/>
                <w:szCs w:val="20"/>
              </w:rPr>
              <w:t>6.其他法律法规规章文件规定应履行的责任。</w:t>
            </w:r>
          </w:p>
        </w:tc>
        <w:tc>
          <w:tcPr>
            <w:tcW w:w="1161" w:type="dxa"/>
            <w:vAlign w:val="center"/>
          </w:tcPr>
          <w:p>
            <w:pPr>
              <w:spacing w:line="200" w:lineRule="exact"/>
              <w:jc w:val="center"/>
              <w:rPr>
                <w:rFonts w:hint="eastAsia" w:ascii="仿宋_GB2312" w:hAnsi="黑体" w:eastAsia="仿宋_GB2312" w:cs="宋体"/>
                <w:sz w:val="20"/>
                <w:szCs w:val="20"/>
              </w:rPr>
            </w:pPr>
            <w:r>
              <w:rPr>
                <w:rFonts w:hint="eastAsia" w:ascii="仿宋_GB2312" w:hAnsi="黑体" w:eastAsia="仿宋_GB2312" w:cs="宋体"/>
                <w:sz w:val="20"/>
                <w:szCs w:val="20"/>
                <w:lang w:val="en-US" w:eastAsia="zh-CN"/>
              </w:rPr>
              <w:t>商贸服务管理股</w:t>
            </w:r>
          </w:p>
        </w:tc>
        <w:tc>
          <w:tcPr>
            <w:tcW w:w="849" w:type="dxa"/>
            <w:vAlign w:val="center"/>
          </w:tcPr>
          <w:p>
            <w:pPr>
              <w:spacing w:line="560" w:lineRule="exact"/>
              <w:jc w:val="center"/>
              <w:rPr>
                <w:rFonts w:hint="eastAsia" w:ascii="仿宋_GB2312" w:hAnsi="黑体" w:eastAsia="仿宋_GB2312" w:cs="宋体"/>
                <w:sz w:val="22"/>
              </w:rPr>
            </w:pPr>
          </w:p>
        </w:tc>
        <w:tc>
          <w:tcPr>
            <w:tcW w:w="813" w:type="dxa"/>
            <w:vMerge w:val="continue"/>
            <w:vAlign w:val="center"/>
          </w:tcPr>
          <w:p>
            <w:pPr>
              <w:spacing w:line="560" w:lineRule="exact"/>
              <w:jc w:val="center"/>
              <w:rPr>
                <w:rFonts w:hint="eastAsia" w:ascii="仿宋_GB2312" w:hAnsi="黑体" w:eastAsia="仿宋_GB2312" w:cs="宋体"/>
                <w:sz w:val="22"/>
              </w:rPr>
            </w:pPr>
          </w:p>
        </w:tc>
        <w:tc>
          <w:tcPr>
            <w:tcW w:w="1450"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12" w:hRule="atLeast"/>
          <w:jc w:val="center"/>
        </w:trPr>
        <w:tc>
          <w:tcPr>
            <w:tcW w:w="14174"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服务电话：</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投诉机构：</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商务举报投诉服务站</w:t>
            </w:r>
            <w:r>
              <w:rPr>
                <w:rFonts w:hint="eastAsia" w:ascii="仿宋_GB2312" w:hAnsi="黑体" w:eastAsia="仿宋_GB2312" w:cs="宋体"/>
                <w:sz w:val="22"/>
              </w:rPr>
              <w:t xml:space="preserve">      投诉电话：0394-</w:t>
            </w:r>
            <w:r>
              <w:rPr>
                <w:rFonts w:hint="eastAsia" w:ascii="仿宋_GB2312" w:hAnsi="黑体" w:eastAsia="仿宋_GB2312" w:cs="宋体"/>
                <w:sz w:val="22"/>
                <w:lang w:val="en-US" w:eastAsia="zh-CN"/>
              </w:rPr>
              <w:t>3229596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12" w:hRule="atLeast"/>
          <w:jc w:val="center"/>
        </w:trPr>
        <w:tc>
          <w:tcPr>
            <w:tcW w:w="14174"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受理地点：</w:t>
            </w:r>
            <w:r>
              <w:rPr>
                <w:rFonts w:hint="eastAsia" w:ascii="仿宋_GB2312" w:hAnsi="黑体" w:eastAsia="仿宋_GB2312" w:cs="宋体"/>
                <w:sz w:val="22"/>
                <w:lang w:val="en-US" w:eastAsia="zh-CN"/>
              </w:rPr>
              <w:t>郸城县世纪大道南段商务局二楼</w:t>
            </w:r>
          </w:p>
        </w:tc>
      </w:tr>
    </w:tbl>
    <w:p>
      <w:pPr>
        <w:ind w:firstLine="420" w:firstLineChars="200"/>
      </w:pPr>
    </w:p>
    <w:p>
      <w:pPr>
        <w:spacing w:line="560" w:lineRule="exact"/>
        <w:jc w:val="center"/>
        <w:rPr>
          <w:rFonts w:hint="eastAsia" w:ascii="黑体" w:eastAsia="黑体"/>
          <w:sz w:val="32"/>
          <w:szCs w:val="32"/>
          <w:lang w:val="zh-CN" w:eastAsia="zh-CN"/>
        </w:rPr>
      </w:pPr>
      <w:r>
        <w:br w:type="page"/>
      </w:r>
      <w:r>
        <w:rPr>
          <w:rFonts w:hint="eastAsia" w:ascii="黑体" w:eastAsia="黑体"/>
          <w:sz w:val="32"/>
          <w:szCs w:val="32"/>
          <w:lang w:val="en-US" w:eastAsia="zh-CN"/>
        </w:rPr>
        <w:t>郸城县</w:t>
      </w:r>
      <w:r>
        <w:rPr>
          <w:rFonts w:hint="eastAsia" w:ascii="黑体" w:eastAsia="黑体"/>
          <w:sz w:val="32"/>
          <w:szCs w:val="32"/>
          <w:lang w:val="zh-CN" w:eastAsia="zh-CN"/>
        </w:rPr>
        <w:t>商务局责任清单</w:t>
      </w:r>
    </w:p>
    <w:p>
      <w:pPr>
        <w:spacing w:line="560" w:lineRule="exact"/>
        <w:ind w:firstLine="440" w:firstLineChars="200"/>
        <w:rPr>
          <w:rFonts w:hint="eastAsia" w:ascii="仿宋_GB2312" w:hAnsi="黑体" w:eastAsia="仿宋_GB2312" w:cs="宋体"/>
          <w:sz w:val="22"/>
        </w:rPr>
      </w:pPr>
      <w:r>
        <w:rPr>
          <w:rFonts w:hint="eastAsia" w:ascii="仿宋_GB2312" w:hAnsi="黑体" w:eastAsia="仿宋_GB2312" w:cs="宋体"/>
          <w:sz w:val="22"/>
        </w:rPr>
        <w:t>职权类别：其他职权</w:t>
      </w:r>
    </w:p>
    <w:tbl>
      <w:tblPr>
        <w:tblStyle w:val="6"/>
        <w:tblW w:w="14174"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18"/>
        <w:gridCol w:w="1199"/>
        <w:gridCol w:w="3135"/>
        <w:gridCol w:w="1074"/>
        <w:gridCol w:w="3775"/>
        <w:gridCol w:w="1161"/>
        <w:gridCol w:w="849"/>
        <w:gridCol w:w="813"/>
        <w:gridCol w:w="145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8" w:hRule="atLeast"/>
          <w:jc w:val="center"/>
        </w:trPr>
        <w:tc>
          <w:tcPr>
            <w:tcW w:w="718"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序号</w:t>
            </w:r>
          </w:p>
        </w:tc>
        <w:tc>
          <w:tcPr>
            <w:tcW w:w="119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职权名称</w:t>
            </w:r>
          </w:p>
        </w:tc>
        <w:tc>
          <w:tcPr>
            <w:tcW w:w="313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实施依据</w:t>
            </w:r>
          </w:p>
        </w:tc>
        <w:tc>
          <w:tcPr>
            <w:tcW w:w="1074"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办理</w:t>
            </w:r>
          </w:p>
          <w:p>
            <w:pPr>
              <w:spacing w:line="360" w:lineRule="exact"/>
              <w:jc w:val="center"/>
              <w:rPr>
                <w:rFonts w:hint="eastAsia" w:ascii="黑体" w:hAnsi="黑体" w:eastAsia="黑体" w:cs="黑体"/>
                <w:sz w:val="22"/>
              </w:rPr>
            </w:pPr>
            <w:r>
              <w:rPr>
                <w:rFonts w:hint="eastAsia" w:ascii="黑体" w:hAnsi="黑体" w:eastAsia="黑体" w:cs="黑体"/>
                <w:sz w:val="22"/>
              </w:rPr>
              <w:t>环节</w:t>
            </w:r>
          </w:p>
        </w:tc>
        <w:tc>
          <w:tcPr>
            <w:tcW w:w="377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责任事项</w:t>
            </w:r>
          </w:p>
        </w:tc>
        <w:tc>
          <w:tcPr>
            <w:tcW w:w="1161"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w:t>
            </w:r>
            <w:r>
              <w:rPr>
                <w:rFonts w:hint="eastAsia" w:ascii="黑体" w:hAnsi="黑体" w:eastAsia="黑体" w:cs="黑体"/>
                <w:sz w:val="22"/>
                <w:lang w:val="en-US" w:eastAsia="zh-CN"/>
              </w:rPr>
              <w:t>股</w:t>
            </w:r>
            <w:r>
              <w:rPr>
                <w:rFonts w:hint="eastAsia" w:ascii="黑体" w:hAnsi="黑体" w:eastAsia="黑体" w:cs="黑体"/>
                <w:sz w:val="22"/>
              </w:rPr>
              <w:t>室</w:t>
            </w:r>
          </w:p>
        </w:tc>
        <w:tc>
          <w:tcPr>
            <w:tcW w:w="84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承诺时限</w:t>
            </w:r>
          </w:p>
        </w:tc>
        <w:tc>
          <w:tcPr>
            <w:tcW w:w="813"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法定时限</w:t>
            </w:r>
          </w:p>
        </w:tc>
        <w:tc>
          <w:tcPr>
            <w:tcW w:w="1450"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restart"/>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60</w:t>
            </w:r>
          </w:p>
        </w:tc>
        <w:tc>
          <w:tcPr>
            <w:tcW w:w="1199" w:type="dxa"/>
            <w:vMerge w:val="restart"/>
            <w:vAlign w:val="center"/>
          </w:tcPr>
          <w:p>
            <w:pPr>
              <w:autoSpaceDE w:val="0"/>
              <w:autoSpaceDN w:val="0"/>
              <w:spacing w:line="300" w:lineRule="exact"/>
              <w:rPr>
                <w:rFonts w:hint="eastAsia" w:ascii="仿宋_GB2312" w:hAnsi="黑体" w:eastAsia="仿宋_GB2312" w:cs="宋体"/>
                <w:spacing w:val="-20"/>
                <w:sz w:val="22"/>
              </w:rPr>
            </w:pPr>
            <w:r>
              <w:rPr>
                <w:rFonts w:hint="eastAsia" w:ascii="宋体" w:hAnsi="宋体"/>
                <w:sz w:val="18"/>
                <w:szCs w:val="18"/>
              </w:rPr>
              <w:t>再生资源回收经营企业备案</w:t>
            </w:r>
          </w:p>
        </w:tc>
        <w:tc>
          <w:tcPr>
            <w:tcW w:w="3135" w:type="dxa"/>
            <w:vMerge w:val="restart"/>
            <w:vAlign w:val="center"/>
          </w:tcPr>
          <w:p>
            <w:pPr>
              <w:keepNext w:val="0"/>
              <w:keepLines w:val="0"/>
              <w:pageBreakBefore w:val="0"/>
              <w:widowControl w:val="0"/>
              <w:kinsoku/>
              <w:wordWrap/>
              <w:overflowPunct/>
              <w:topLinePunct w:val="0"/>
              <w:autoSpaceDE w:val="0"/>
              <w:autoSpaceDN w:val="0"/>
              <w:bidi w:val="0"/>
              <w:adjustRightInd/>
              <w:snapToGrid/>
              <w:spacing w:line="280" w:lineRule="exact"/>
              <w:ind w:left="0" w:leftChars="0" w:right="0" w:rightChars="0" w:firstLine="0" w:firstLineChars="0"/>
              <w:jc w:val="both"/>
              <w:textAlignment w:val="auto"/>
              <w:outlineLvl w:val="9"/>
              <w:rPr>
                <w:rFonts w:hint="eastAsia" w:ascii="仿宋_GB2312" w:hAnsi="黑体" w:eastAsia="仿宋_GB2312" w:cs="宋体"/>
                <w:spacing w:val="-20"/>
                <w:sz w:val="20"/>
                <w:szCs w:val="20"/>
              </w:rPr>
            </w:pPr>
            <w:r>
              <w:rPr>
                <w:rFonts w:hint="eastAsia" w:ascii="宋体" w:hAnsi="宋体"/>
                <w:sz w:val="20"/>
                <w:szCs w:val="20"/>
              </w:rPr>
              <w:t xml:space="preserve">    《再生资源回收管理办法》（商务部、国家发改委、公安部、建设部、工商总局、环保总局令2007年第8号）第二章第七条：“从事再生资源回收经营活动，应当在取得营业执照后30日内，按属地管理原则，向登记注册地工商行政管理部门的同级商务主管部门或者其授权机构备案。”</w:t>
            </w: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仿宋_GB2312" w:hAnsi="仿宋_GB2312" w:eastAsia="仿宋_GB2312"/>
                <w:spacing w:val="-20"/>
                <w:sz w:val="20"/>
                <w:szCs w:val="20"/>
              </w:rPr>
              <w:t>受理</w:t>
            </w:r>
          </w:p>
        </w:tc>
        <w:tc>
          <w:tcPr>
            <w:tcW w:w="3775" w:type="dxa"/>
            <w:vAlign w:val="center"/>
          </w:tcPr>
          <w:p>
            <w:pPr>
              <w:autoSpaceDE w:val="0"/>
              <w:autoSpaceDN w:val="0"/>
              <w:spacing w:line="240" w:lineRule="exact"/>
              <w:rPr>
                <w:rFonts w:hint="eastAsia" w:ascii="仿宋_GB2312" w:hAnsi="黑体" w:eastAsia="仿宋_GB2312" w:cs="宋体"/>
                <w:sz w:val="22"/>
              </w:rPr>
            </w:pPr>
            <w:r>
              <w:rPr>
                <w:rFonts w:hint="eastAsia"/>
                <w:color w:val="000000"/>
                <w:sz w:val="20"/>
                <w:szCs w:val="20"/>
              </w:rPr>
              <w:t>1.受理阶段责任：公示依法应当提交的材料；一次性告知补正材料；依法受理或不予受理（不予受理的告知理由）。</w:t>
            </w:r>
          </w:p>
        </w:tc>
        <w:tc>
          <w:tcPr>
            <w:tcW w:w="1161" w:type="dxa"/>
            <w:vAlign w:val="center"/>
          </w:tcPr>
          <w:p>
            <w:pPr>
              <w:spacing w:line="300" w:lineRule="exact"/>
              <w:jc w:val="center"/>
              <w:rPr>
                <w:rFonts w:hint="eastAsia" w:ascii="仿宋_GB2312" w:hAnsi="黑体" w:eastAsia="仿宋_GB2312" w:cs="宋体"/>
                <w:sz w:val="20"/>
                <w:szCs w:val="20"/>
                <w:lang w:eastAsia="zh-CN"/>
              </w:rPr>
            </w:pPr>
            <w:r>
              <w:rPr>
                <w:rFonts w:hint="eastAsia" w:ascii="仿宋_GB2312" w:hAnsi="黑体" w:eastAsia="仿宋_GB2312" w:cs="宋体"/>
                <w:sz w:val="20"/>
                <w:szCs w:val="20"/>
                <w:lang w:val="en-US" w:eastAsia="zh-CN"/>
              </w:rPr>
              <w:t>市场体系建设股</w:t>
            </w:r>
          </w:p>
        </w:tc>
        <w:tc>
          <w:tcPr>
            <w:tcW w:w="849"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1</w:t>
            </w:r>
          </w:p>
        </w:tc>
        <w:tc>
          <w:tcPr>
            <w:tcW w:w="813" w:type="dxa"/>
            <w:vMerge w:val="restart"/>
            <w:vAlign w:val="center"/>
          </w:tcPr>
          <w:p>
            <w:pPr>
              <w:spacing w:line="560" w:lineRule="exact"/>
              <w:jc w:val="center"/>
              <w:rPr>
                <w:rFonts w:hint="eastAsia" w:ascii="仿宋_GB2312" w:hAnsi="黑体" w:eastAsia="仿宋_GB2312" w:cs="宋体"/>
                <w:sz w:val="22"/>
              </w:rPr>
            </w:pPr>
          </w:p>
        </w:tc>
        <w:tc>
          <w:tcPr>
            <w:tcW w:w="1450" w:type="dxa"/>
            <w:vMerge w:val="restart"/>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仿宋_GB2312" w:hAnsi="仿宋_GB2312" w:eastAsia="仿宋_GB2312"/>
                <w:spacing w:val="-20"/>
                <w:sz w:val="20"/>
                <w:szCs w:val="20"/>
              </w:rPr>
              <w:t>审查</w:t>
            </w:r>
          </w:p>
        </w:tc>
        <w:tc>
          <w:tcPr>
            <w:tcW w:w="3775" w:type="dxa"/>
            <w:vAlign w:val="center"/>
          </w:tcPr>
          <w:p>
            <w:pPr>
              <w:autoSpaceDE w:val="0"/>
              <w:autoSpaceDN w:val="0"/>
              <w:spacing w:line="240" w:lineRule="exact"/>
              <w:rPr>
                <w:rFonts w:hint="eastAsia" w:ascii="仿宋_GB2312" w:hAnsi="仿宋_GB2312" w:eastAsia="仿宋_GB2312"/>
                <w:spacing w:val="-20"/>
                <w:sz w:val="20"/>
                <w:szCs w:val="20"/>
              </w:rPr>
            </w:pPr>
            <w:r>
              <w:rPr>
                <w:rFonts w:hint="eastAsia"/>
                <w:color w:val="000000"/>
                <w:sz w:val="20"/>
                <w:szCs w:val="20"/>
              </w:rPr>
              <w:t>2.审查阶段责任：材料审核；提出初审意见。</w:t>
            </w:r>
          </w:p>
        </w:tc>
        <w:tc>
          <w:tcPr>
            <w:tcW w:w="1161" w:type="dxa"/>
            <w:vAlign w:val="center"/>
          </w:tcPr>
          <w:p>
            <w:pPr>
              <w:spacing w:line="300" w:lineRule="exact"/>
              <w:jc w:val="center"/>
              <w:rPr>
                <w:rFonts w:hint="eastAsia" w:ascii="仿宋_GB2312" w:hAnsi="黑体" w:eastAsia="仿宋_GB2312" w:cs="宋体"/>
                <w:sz w:val="20"/>
                <w:szCs w:val="20"/>
              </w:rPr>
            </w:pPr>
            <w:r>
              <w:rPr>
                <w:rFonts w:hint="eastAsia" w:ascii="仿宋_GB2312" w:hAnsi="黑体" w:eastAsia="仿宋_GB2312" w:cs="宋体"/>
                <w:sz w:val="20"/>
                <w:szCs w:val="20"/>
                <w:lang w:val="en-US" w:eastAsia="zh-CN"/>
              </w:rPr>
              <w:t>市场体系建设股</w:t>
            </w:r>
          </w:p>
        </w:tc>
        <w:tc>
          <w:tcPr>
            <w:tcW w:w="849" w:type="dxa"/>
            <w:vAlign w:val="center"/>
          </w:tcPr>
          <w:p>
            <w:pPr>
              <w:spacing w:line="560" w:lineRule="exact"/>
              <w:jc w:val="center"/>
              <w:rPr>
                <w:rFonts w:hint="eastAsia" w:ascii="仿宋_GB2312" w:hAnsi="黑体" w:eastAsia="仿宋_GB2312" w:cs="宋体"/>
                <w:sz w:val="22"/>
                <w:lang w:eastAsia="zh-CN"/>
              </w:rPr>
            </w:pPr>
            <w:r>
              <w:rPr>
                <w:rFonts w:hint="eastAsia" w:ascii="仿宋_GB2312" w:hAnsi="黑体" w:eastAsia="仿宋_GB2312" w:cs="宋体"/>
                <w:sz w:val="22"/>
                <w:lang w:val="en-US" w:eastAsia="zh-CN"/>
              </w:rPr>
              <w:t>3</w:t>
            </w:r>
          </w:p>
        </w:tc>
        <w:tc>
          <w:tcPr>
            <w:tcW w:w="813" w:type="dxa"/>
            <w:vMerge w:val="continue"/>
            <w:vAlign w:val="center"/>
          </w:tcPr>
          <w:p>
            <w:pPr>
              <w:spacing w:line="560" w:lineRule="exact"/>
              <w:jc w:val="center"/>
              <w:rPr>
                <w:rFonts w:hint="eastAsia" w:ascii="仿宋_GB2312" w:hAnsi="黑体" w:eastAsia="仿宋_GB2312" w:cs="宋体"/>
                <w:sz w:val="22"/>
              </w:rPr>
            </w:pPr>
          </w:p>
        </w:tc>
        <w:tc>
          <w:tcPr>
            <w:tcW w:w="1450"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仿宋_GB2312" w:hAnsi="仿宋_GB2312" w:eastAsia="仿宋_GB2312"/>
                <w:spacing w:val="-20"/>
                <w:sz w:val="20"/>
                <w:szCs w:val="20"/>
              </w:rPr>
              <w:t>决定</w:t>
            </w:r>
          </w:p>
        </w:tc>
        <w:tc>
          <w:tcPr>
            <w:tcW w:w="3775" w:type="dxa"/>
            <w:vAlign w:val="center"/>
          </w:tcPr>
          <w:p>
            <w:pPr>
              <w:autoSpaceDE w:val="0"/>
              <w:autoSpaceDN w:val="0"/>
              <w:spacing w:line="240" w:lineRule="exact"/>
              <w:rPr>
                <w:rFonts w:hint="eastAsia" w:ascii="仿宋_GB2312" w:hAnsi="仿宋_GB2312" w:eastAsia="仿宋_GB2312"/>
                <w:spacing w:val="-20"/>
                <w:sz w:val="20"/>
                <w:szCs w:val="20"/>
              </w:rPr>
            </w:pPr>
            <w:r>
              <w:rPr>
                <w:rFonts w:hint="eastAsia"/>
                <w:color w:val="000000"/>
                <w:sz w:val="20"/>
                <w:szCs w:val="20"/>
              </w:rPr>
              <w:t>3.决定阶段责任：作出批准或者不批准的决定（不批准的告知理由）；按时办结；法定告知。</w:t>
            </w:r>
          </w:p>
        </w:tc>
        <w:tc>
          <w:tcPr>
            <w:tcW w:w="1161" w:type="dxa"/>
            <w:vAlign w:val="center"/>
          </w:tcPr>
          <w:p>
            <w:pPr>
              <w:spacing w:line="300" w:lineRule="exact"/>
              <w:jc w:val="center"/>
              <w:rPr>
                <w:rFonts w:hint="eastAsia" w:ascii="仿宋_GB2312" w:hAnsi="黑体" w:eastAsia="仿宋_GB2312" w:cs="宋体"/>
                <w:sz w:val="20"/>
                <w:szCs w:val="20"/>
              </w:rPr>
            </w:pPr>
            <w:r>
              <w:rPr>
                <w:rFonts w:hint="eastAsia" w:ascii="仿宋_GB2312" w:hAnsi="黑体" w:eastAsia="仿宋_GB2312" w:cs="宋体"/>
                <w:sz w:val="20"/>
                <w:szCs w:val="20"/>
                <w:lang w:val="en-US" w:eastAsia="zh-CN"/>
              </w:rPr>
              <w:t>市场体系建设股</w:t>
            </w:r>
          </w:p>
        </w:tc>
        <w:tc>
          <w:tcPr>
            <w:tcW w:w="849"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1</w:t>
            </w:r>
          </w:p>
        </w:tc>
        <w:tc>
          <w:tcPr>
            <w:tcW w:w="813" w:type="dxa"/>
            <w:vMerge w:val="continue"/>
            <w:vAlign w:val="center"/>
          </w:tcPr>
          <w:p>
            <w:pPr>
              <w:spacing w:line="560" w:lineRule="exact"/>
              <w:jc w:val="center"/>
              <w:rPr>
                <w:rFonts w:hint="eastAsia" w:ascii="仿宋_GB2312" w:hAnsi="黑体" w:eastAsia="仿宋_GB2312" w:cs="宋体"/>
                <w:sz w:val="22"/>
              </w:rPr>
            </w:pPr>
          </w:p>
        </w:tc>
        <w:tc>
          <w:tcPr>
            <w:tcW w:w="1450"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仿宋_GB2312" w:hAnsi="仿宋_GB2312" w:eastAsia="仿宋_GB2312"/>
                <w:spacing w:val="-20"/>
                <w:sz w:val="20"/>
                <w:szCs w:val="20"/>
              </w:rPr>
              <w:t>送达</w:t>
            </w:r>
          </w:p>
        </w:tc>
        <w:tc>
          <w:tcPr>
            <w:tcW w:w="3775" w:type="dxa"/>
            <w:vAlign w:val="center"/>
          </w:tcPr>
          <w:p>
            <w:pPr>
              <w:autoSpaceDE w:val="0"/>
              <w:autoSpaceDN w:val="0"/>
              <w:spacing w:line="240" w:lineRule="exact"/>
              <w:rPr>
                <w:rFonts w:hint="eastAsia" w:ascii="仿宋_GB2312" w:hAnsi="仿宋_GB2312" w:eastAsia="仿宋_GB2312"/>
                <w:spacing w:val="-20"/>
                <w:sz w:val="20"/>
                <w:szCs w:val="20"/>
              </w:rPr>
            </w:pPr>
            <w:r>
              <w:rPr>
                <w:rFonts w:hint="eastAsia"/>
                <w:color w:val="000000"/>
                <w:sz w:val="20"/>
                <w:szCs w:val="20"/>
              </w:rPr>
              <w:t>4.送达阶段责任：制发送达文书；信息公开。</w:t>
            </w:r>
          </w:p>
        </w:tc>
        <w:tc>
          <w:tcPr>
            <w:tcW w:w="1161" w:type="dxa"/>
            <w:vAlign w:val="center"/>
          </w:tcPr>
          <w:p>
            <w:pPr>
              <w:spacing w:line="300" w:lineRule="exact"/>
              <w:jc w:val="center"/>
              <w:rPr>
                <w:rFonts w:hint="eastAsia" w:ascii="仿宋_GB2312" w:hAnsi="黑体" w:eastAsia="仿宋_GB2312" w:cs="宋体"/>
                <w:sz w:val="20"/>
                <w:szCs w:val="20"/>
              </w:rPr>
            </w:pPr>
            <w:r>
              <w:rPr>
                <w:rFonts w:hint="eastAsia" w:ascii="仿宋_GB2312" w:hAnsi="黑体" w:eastAsia="仿宋_GB2312" w:cs="宋体"/>
                <w:sz w:val="20"/>
                <w:szCs w:val="20"/>
                <w:lang w:val="en-US" w:eastAsia="zh-CN"/>
              </w:rPr>
              <w:t>市场体系建设股</w:t>
            </w:r>
          </w:p>
        </w:tc>
        <w:tc>
          <w:tcPr>
            <w:tcW w:w="849" w:type="dxa"/>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1</w:t>
            </w:r>
          </w:p>
        </w:tc>
        <w:tc>
          <w:tcPr>
            <w:tcW w:w="813" w:type="dxa"/>
            <w:vMerge w:val="continue"/>
            <w:vAlign w:val="center"/>
          </w:tcPr>
          <w:p>
            <w:pPr>
              <w:spacing w:line="560" w:lineRule="exact"/>
              <w:jc w:val="center"/>
              <w:rPr>
                <w:rFonts w:hint="eastAsia" w:ascii="仿宋_GB2312" w:hAnsi="黑体" w:eastAsia="仿宋_GB2312" w:cs="宋体"/>
                <w:sz w:val="22"/>
              </w:rPr>
            </w:pPr>
          </w:p>
        </w:tc>
        <w:tc>
          <w:tcPr>
            <w:tcW w:w="1450"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仿宋_GB2312" w:hAnsi="仿宋_GB2312" w:eastAsia="仿宋_GB2312"/>
                <w:spacing w:val="-20"/>
                <w:sz w:val="20"/>
                <w:szCs w:val="20"/>
              </w:rPr>
              <w:t>事后监管</w:t>
            </w:r>
          </w:p>
        </w:tc>
        <w:tc>
          <w:tcPr>
            <w:tcW w:w="3775" w:type="dxa"/>
            <w:vAlign w:val="center"/>
          </w:tcPr>
          <w:p>
            <w:pPr>
              <w:autoSpaceDE w:val="0"/>
              <w:autoSpaceDN w:val="0"/>
              <w:spacing w:line="240" w:lineRule="exact"/>
              <w:rPr>
                <w:rFonts w:hint="eastAsia" w:ascii="仿宋_GB2312" w:hAnsi="仿宋_GB2312" w:eastAsia="仿宋_GB2312"/>
                <w:spacing w:val="-20"/>
                <w:sz w:val="20"/>
                <w:szCs w:val="20"/>
              </w:rPr>
            </w:pPr>
            <w:r>
              <w:rPr>
                <w:rFonts w:hint="eastAsia"/>
                <w:color w:val="000000"/>
                <w:sz w:val="20"/>
                <w:szCs w:val="20"/>
              </w:rPr>
              <w:t>5.事后监管责任：开展定期和不定期检查，根据检查情况，做出资质注销等决定。</w:t>
            </w:r>
          </w:p>
        </w:tc>
        <w:tc>
          <w:tcPr>
            <w:tcW w:w="1161" w:type="dxa"/>
            <w:vAlign w:val="center"/>
          </w:tcPr>
          <w:p>
            <w:pPr>
              <w:spacing w:line="300" w:lineRule="exact"/>
              <w:jc w:val="center"/>
              <w:rPr>
                <w:rFonts w:hint="eastAsia" w:ascii="仿宋_GB2312" w:hAnsi="黑体" w:eastAsia="仿宋_GB2312" w:cs="宋体"/>
                <w:sz w:val="20"/>
                <w:szCs w:val="20"/>
              </w:rPr>
            </w:pPr>
            <w:r>
              <w:rPr>
                <w:rFonts w:hint="eastAsia" w:ascii="仿宋_GB2312" w:hAnsi="黑体" w:eastAsia="仿宋_GB2312" w:cs="宋体"/>
                <w:sz w:val="20"/>
                <w:szCs w:val="20"/>
                <w:lang w:val="en-US" w:eastAsia="zh-CN"/>
              </w:rPr>
              <w:t>市场体系建设股</w:t>
            </w:r>
          </w:p>
        </w:tc>
        <w:tc>
          <w:tcPr>
            <w:tcW w:w="849" w:type="dxa"/>
            <w:vAlign w:val="center"/>
          </w:tcPr>
          <w:p>
            <w:pPr>
              <w:spacing w:line="560" w:lineRule="exact"/>
              <w:jc w:val="center"/>
              <w:rPr>
                <w:rFonts w:hint="eastAsia" w:ascii="仿宋_GB2312" w:hAnsi="黑体" w:eastAsia="仿宋_GB2312" w:cs="宋体"/>
                <w:sz w:val="22"/>
              </w:rPr>
            </w:pPr>
          </w:p>
        </w:tc>
        <w:tc>
          <w:tcPr>
            <w:tcW w:w="813" w:type="dxa"/>
            <w:vMerge w:val="continue"/>
            <w:vAlign w:val="center"/>
          </w:tcPr>
          <w:p>
            <w:pPr>
              <w:spacing w:line="560" w:lineRule="exact"/>
              <w:jc w:val="center"/>
              <w:rPr>
                <w:rFonts w:hint="eastAsia" w:ascii="仿宋_GB2312" w:hAnsi="黑体" w:eastAsia="仿宋_GB2312" w:cs="宋体"/>
                <w:sz w:val="22"/>
              </w:rPr>
            </w:pPr>
          </w:p>
        </w:tc>
        <w:tc>
          <w:tcPr>
            <w:tcW w:w="1450"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p>
        </w:tc>
        <w:tc>
          <w:tcPr>
            <w:tcW w:w="3775" w:type="dxa"/>
            <w:vAlign w:val="center"/>
          </w:tcPr>
          <w:p>
            <w:pPr>
              <w:autoSpaceDE w:val="0"/>
              <w:autoSpaceDN w:val="0"/>
              <w:spacing w:line="240" w:lineRule="exact"/>
              <w:rPr>
                <w:rFonts w:hint="eastAsia" w:ascii="仿宋_GB2312" w:hAnsi="仿宋_GB2312" w:eastAsia="仿宋_GB2312"/>
                <w:spacing w:val="-20"/>
                <w:sz w:val="20"/>
                <w:szCs w:val="20"/>
              </w:rPr>
            </w:pPr>
            <w:r>
              <w:rPr>
                <w:rFonts w:hint="eastAsia"/>
                <w:color w:val="000000"/>
                <w:sz w:val="20"/>
                <w:szCs w:val="20"/>
              </w:rPr>
              <w:t>6.其他法律法规规章文件规定应履行的责任。</w:t>
            </w:r>
          </w:p>
        </w:tc>
        <w:tc>
          <w:tcPr>
            <w:tcW w:w="1161" w:type="dxa"/>
            <w:vAlign w:val="center"/>
          </w:tcPr>
          <w:p>
            <w:pPr>
              <w:spacing w:line="300" w:lineRule="exact"/>
              <w:jc w:val="center"/>
              <w:rPr>
                <w:rFonts w:hint="eastAsia" w:ascii="仿宋_GB2312" w:hAnsi="黑体" w:eastAsia="仿宋_GB2312" w:cs="宋体"/>
                <w:sz w:val="20"/>
                <w:szCs w:val="20"/>
              </w:rPr>
            </w:pPr>
            <w:r>
              <w:rPr>
                <w:rFonts w:hint="eastAsia" w:ascii="仿宋_GB2312" w:hAnsi="黑体" w:eastAsia="仿宋_GB2312" w:cs="宋体"/>
                <w:sz w:val="20"/>
                <w:szCs w:val="20"/>
                <w:lang w:val="en-US" w:eastAsia="zh-CN"/>
              </w:rPr>
              <w:t>市场体系建设股</w:t>
            </w:r>
          </w:p>
        </w:tc>
        <w:tc>
          <w:tcPr>
            <w:tcW w:w="849" w:type="dxa"/>
            <w:vAlign w:val="center"/>
          </w:tcPr>
          <w:p>
            <w:pPr>
              <w:spacing w:line="560" w:lineRule="exact"/>
              <w:jc w:val="center"/>
              <w:rPr>
                <w:rFonts w:hint="eastAsia" w:ascii="仿宋_GB2312" w:hAnsi="黑体" w:eastAsia="仿宋_GB2312" w:cs="宋体"/>
                <w:sz w:val="22"/>
              </w:rPr>
            </w:pPr>
          </w:p>
        </w:tc>
        <w:tc>
          <w:tcPr>
            <w:tcW w:w="813" w:type="dxa"/>
            <w:vMerge w:val="continue"/>
            <w:vAlign w:val="center"/>
          </w:tcPr>
          <w:p>
            <w:pPr>
              <w:spacing w:line="560" w:lineRule="exact"/>
              <w:jc w:val="center"/>
              <w:rPr>
                <w:rFonts w:hint="eastAsia" w:ascii="仿宋_GB2312" w:hAnsi="黑体" w:eastAsia="仿宋_GB2312" w:cs="宋体"/>
                <w:sz w:val="22"/>
              </w:rPr>
            </w:pPr>
          </w:p>
        </w:tc>
        <w:tc>
          <w:tcPr>
            <w:tcW w:w="1450"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12" w:hRule="atLeast"/>
          <w:jc w:val="center"/>
        </w:trPr>
        <w:tc>
          <w:tcPr>
            <w:tcW w:w="14174"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服务电话：</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投诉机构：</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商务举报投诉服务站</w:t>
            </w:r>
            <w:r>
              <w:rPr>
                <w:rFonts w:hint="eastAsia" w:ascii="仿宋_GB2312" w:hAnsi="黑体" w:eastAsia="仿宋_GB2312" w:cs="宋体"/>
                <w:sz w:val="22"/>
              </w:rPr>
              <w:t xml:space="preserve">      投诉电话：0394-</w:t>
            </w:r>
            <w:r>
              <w:rPr>
                <w:rFonts w:hint="eastAsia" w:ascii="仿宋_GB2312" w:hAnsi="黑体" w:eastAsia="仿宋_GB2312" w:cs="宋体"/>
                <w:sz w:val="22"/>
                <w:lang w:val="en-US" w:eastAsia="zh-CN"/>
              </w:rPr>
              <w:t>3229596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12" w:hRule="atLeast"/>
          <w:jc w:val="center"/>
        </w:trPr>
        <w:tc>
          <w:tcPr>
            <w:tcW w:w="14174"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受理地点：</w:t>
            </w:r>
            <w:r>
              <w:rPr>
                <w:rFonts w:hint="eastAsia" w:ascii="仿宋_GB2312" w:hAnsi="黑体" w:eastAsia="仿宋_GB2312" w:cs="宋体"/>
                <w:sz w:val="22"/>
                <w:lang w:val="en-US" w:eastAsia="zh-CN"/>
              </w:rPr>
              <w:t>郸城县世纪大道南段商务局二楼</w:t>
            </w:r>
          </w:p>
        </w:tc>
      </w:tr>
    </w:tbl>
    <w:p>
      <w:pPr>
        <w:spacing w:line="560" w:lineRule="exact"/>
        <w:jc w:val="center"/>
        <w:rPr>
          <w:rFonts w:hint="eastAsia" w:ascii="黑体" w:eastAsia="黑体"/>
          <w:sz w:val="32"/>
          <w:szCs w:val="32"/>
          <w:lang w:val="zh-CN" w:eastAsia="zh-CN"/>
        </w:rPr>
      </w:pPr>
      <w:r>
        <w:br w:type="page"/>
      </w:r>
      <w:r>
        <w:rPr>
          <w:rFonts w:hint="eastAsia" w:ascii="黑体" w:eastAsia="黑体"/>
          <w:sz w:val="32"/>
          <w:szCs w:val="32"/>
          <w:lang w:val="en-US" w:eastAsia="zh-CN"/>
        </w:rPr>
        <w:t>郸城县</w:t>
      </w:r>
      <w:r>
        <w:rPr>
          <w:rFonts w:hint="eastAsia" w:ascii="黑体" w:eastAsia="黑体"/>
          <w:sz w:val="32"/>
          <w:szCs w:val="32"/>
          <w:lang w:val="zh-CN" w:eastAsia="zh-CN"/>
        </w:rPr>
        <w:t>商务局责任清单</w:t>
      </w:r>
    </w:p>
    <w:p>
      <w:pPr>
        <w:spacing w:line="560" w:lineRule="exact"/>
        <w:ind w:firstLine="440" w:firstLineChars="200"/>
        <w:rPr>
          <w:rFonts w:hint="eastAsia" w:ascii="仿宋_GB2312" w:hAnsi="黑体" w:eastAsia="仿宋_GB2312" w:cs="宋体"/>
          <w:sz w:val="22"/>
        </w:rPr>
      </w:pPr>
      <w:r>
        <w:rPr>
          <w:rFonts w:hint="eastAsia" w:ascii="仿宋_GB2312" w:hAnsi="黑体" w:eastAsia="仿宋_GB2312" w:cs="宋体"/>
          <w:sz w:val="22"/>
        </w:rPr>
        <w:t>职权类别：其他职权</w:t>
      </w:r>
    </w:p>
    <w:tbl>
      <w:tblPr>
        <w:tblStyle w:val="6"/>
        <w:tblW w:w="14174"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18"/>
        <w:gridCol w:w="1199"/>
        <w:gridCol w:w="3135"/>
        <w:gridCol w:w="1074"/>
        <w:gridCol w:w="3775"/>
        <w:gridCol w:w="1161"/>
        <w:gridCol w:w="849"/>
        <w:gridCol w:w="813"/>
        <w:gridCol w:w="145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8" w:hRule="atLeast"/>
          <w:jc w:val="center"/>
        </w:trPr>
        <w:tc>
          <w:tcPr>
            <w:tcW w:w="718"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序号</w:t>
            </w:r>
          </w:p>
        </w:tc>
        <w:tc>
          <w:tcPr>
            <w:tcW w:w="119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职权名称</w:t>
            </w:r>
          </w:p>
        </w:tc>
        <w:tc>
          <w:tcPr>
            <w:tcW w:w="313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实施依据</w:t>
            </w:r>
          </w:p>
        </w:tc>
        <w:tc>
          <w:tcPr>
            <w:tcW w:w="1074"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办理</w:t>
            </w:r>
          </w:p>
          <w:p>
            <w:pPr>
              <w:spacing w:line="360" w:lineRule="exact"/>
              <w:jc w:val="center"/>
              <w:rPr>
                <w:rFonts w:hint="eastAsia" w:ascii="黑体" w:hAnsi="黑体" w:eastAsia="黑体" w:cs="黑体"/>
                <w:sz w:val="22"/>
              </w:rPr>
            </w:pPr>
            <w:r>
              <w:rPr>
                <w:rFonts w:hint="eastAsia" w:ascii="黑体" w:hAnsi="黑体" w:eastAsia="黑体" w:cs="黑体"/>
                <w:sz w:val="22"/>
              </w:rPr>
              <w:t>环节</w:t>
            </w:r>
          </w:p>
        </w:tc>
        <w:tc>
          <w:tcPr>
            <w:tcW w:w="377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责任事项</w:t>
            </w:r>
          </w:p>
        </w:tc>
        <w:tc>
          <w:tcPr>
            <w:tcW w:w="1161"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w:t>
            </w:r>
            <w:r>
              <w:rPr>
                <w:rFonts w:hint="eastAsia" w:ascii="黑体" w:hAnsi="黑体" w:eastAsia="黑体" w:cs="黑体"/>
                <w:sz w:val="22"/>
                <w:lang w:val="en-US" w:eastAsia="zh-CN"/>
              </w:rPr>
              <w:t>股</w:t>
            </w:r>
            <w:r>
              <w:rPr>
                <w:rFonts w:hint="eastAsia" w:ascii="黑体" w:hAnsi="黑体" w:eastAsia="黑体" w:cs="黑体"/>
                <w:sz w:val="22"/>
              </w:rPr>
              <w:t>室</w:t>
            </w:r>
          </w:p>
        </w:tc>
        <w:tc>
          <w:tcPr>
            <w:tcW w:w="84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承诺时限</w:t>
            </w:r>
          </w:p>
        </w:tc>
        <w:tc>
          <w:tcPr>
            <w:tcW w:w="813"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法定时限</w:t>
            </w:r>
          </w:p>
        </w:tc>
        <w:tc>
          <w:tcPr>
            <w:tcW w:w="1450"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restart"/>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61</w:t>
            </w:r>
          </w:p>
        </w:tc>
        <w:tc>
          <w:tcPr>
            <w:tcW w:w="1199" w:type="dxa"/>
            <w:vMerge w:val="restart"/>
            <w:vAlign w:val="center"/>
          </w:tcPr>
          <w:p>
            <w:pPr>
              <w:autoSpaceDE w:val="0"/>
              <w:autoSpaceDN w:val="0"/>
              <w:spacing w:line="300" w:lineRule="exact"/>
              <w:rPr>
                <w:rFonts w:hint="eastAsia" w:ascii="仿宋_GB2312" w:hAnsi="黑体" w:eastAsia="仿宋_GB2312" w:cs="宋体"/>
                <w:spacing w:val="-20"/>
                <w:sz w:val="18"/>
                <w:szCs w:val="18"/>
              </w:rPr>
            </w:pPr>
            <w:r>
              <w:rPr>
                <w:rFonts w:hint="eastAsia"/>
                <w:sz w:val="18"/>
                <w:szCs w:val="18"/>
              </w:rPr>
              <w:t>对外承包工程资格初审转报</w:t>
            </w:r>
          </w:p>
        </w:tc>
        <w:tc>
          <w:tcPr>
            <w:tcW w:w="3135" w:type="dxa"/>
            <w:vMerge w:val="restart"/>
            <w:vAlign w:val="center"/>
          </w:tcPr>
          <w:p>
            <w:pPr>
              <w:keepNext w:val="0"/>
              <w:keepLines w:val="0"/>
              <w:pageBreakBefore w:val="0"/>
              <w:widowControl w:val="0"/>
              <w:kinsoku/>
              <w:wordWrap/>
              <w:overflowPunct/>
              <w:topLinePunct w:val="0"/>
              <w:autoSpaceDE w:val="0"/>
              <w:autoSpaceDN w:val="0"/>
              <w:bidi w:val="0"/>
              <w:adjustRightInd/>
              <w:snapToGrid/>
              <w:spacing w:line="280" w:lineRule="exact"/>
              <w:ind w:left="0" w:leftChars="0" w:right="0" w:rightChars="0" w:firstLine="0" w:firstLineChars="0"/>
              <w:jc w:val="both"/>
              <w:textAlignment w:val="auto"/>
              <w:outlineLvl w:val="9"/>
              <w:rPr>
                <w:rFonts w:hint="eastAsia" w:ascii="仿宋_GB2312" w:hAnsi="黑体" w:eastAsia="仿宋_GB2312" w:cs="宋体"/>
                <w:spacing w:val="-20"/>
                <w:sz w:val="20"/>
                <w:szCs w:val="20"/>
              </w:rPr>
            </w:pPr>
            <w:r>
              <w:rPr>
                <w:rFonts w:hint="eastAsia"/>
                <w:sz w:val="20"/>
                <w:szCs w:val="20"/>
              </w:rPr>
              <w:t>《对外承包工程管理条例》（国务院令第527号）第九条：“申请对外承包工程资格，中央企业和中央管理的其他单位应当向国务院商务主管部门提出申请，中央单位以外的单位应当向所在地省、自治区、直辖市人民政府商务主管部门提出申请。……国务院商务主管部门或者省、自治区、直辖市人民政府商务主管部门应当自收到申请书和证明材料之日起30日内，会同同级建设主管部门进行审查，作出批准或者不予批准的决定…… ”</w:t>
            </w: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仿宋_GB2312" w:hAnsi="仿宋_GB2312" w:eastAsia="仿宋_GB2312"/>
                <w:spacing w:val="-20"/>
                <w:sz w:val="20"/>
                <w:szCs w:val="20"/>
              </w:rPr>
              <w:t>受理</w:t>
            </w:r>
          </w:p>
        </w:tc>
        <w:tc>
          <w:tcPr>
            <w:tcW w:w="3775" w:type="dxa"/>
            <w:vAlign w:val="center"/>
          </w:tcPr>
          <w:p>
            <w:pPr>
              <w:autoSpaceDE w:val="0"/>
              <w:autoSpaceDN w:val="0"/>
              <w:spacing w:line="240" w:lineRule="exact"/>
              <w:rPr>
                <w:rFonts w:hint="eastAsia" w:ascii="仿宋_GB2312" w:hAnsi="黑体" w:eastAsia="仿宋_GB2312" w:cs="宋体"/>
                <w:sz w:val="22"/>
              </w:rPr>
            </w:pPr>
            <w:r>
              <w:rPr>
                <w:rFonts w:hint="eastAsia"/>
                <w:color w:val="000000"/>
                <w:sz w:val="20"/>
                <w:szCs w:val="20"/>
              </w:rPr>
              <w:t>1.受理阶段责任：公示依法应当提交的材料；一次性告知补正材料；依法受理或不予受理（不予受理的告知理由）。</w:t>
            </w:r>
          </w:p>
        </w:tc>
        <w:tc>
          <w:tcPr>
            <w:tcW w:w="1161" w:type="dxa"/>
            <w:vAlign w:val="center"/>
          </w:tcPr>
          <w:p>
            <w:pPr>
              <w:spacing w:line="300" w:lineRule="exact"/>
              <w:jc w:val="center"/>
              <w:rPr>
                <w:rFonts w:hint="eastAsia" w:ascii="仿宋_GB2312" w:hAnsi="黑体" w:eastAsia="仿宋_GB2312" w:cs="宋体"/>
                <w:sz w:val="20"/>
                <w:szCs w:val="20"/>
              </w:rPr>
            </w:pPr>
            <w:r>
              <w:rPr>
                <w:rFonts w:hint="eastAsia" w:ascii="仿宋_GB2312" w:hAnsi="黑体" w:eastAsia="仿宋_GB2312" w:cs="宋体"/>
                <w:sz w:val="20"/>
                <w:szCs w:val="20"/>
              </w:rPr>
              <w:t>行政审批服务</w:t>
            </w:r>
            <w:r>
              <w:rPr>
                <w:rFonts w:hint="eastAsia" w:ascii="仿宋_GB2312" w:hAnsi="黑体" w:eastAsia="仿宋_GB2312" w:cs="宋体"/>
                <w:sz w:val="20"/>
                <w:szCs w:val="20"/>
                <w:lang w:val="en-US" w:eastAsia="zh-CN"/>
              </w:rPr>
              <w:t>股</w:t>
            </w:r>
          </w:p>
        </w:tc>
        <w:tc>
          <w:tcPr>
            <w:tcW w:w="849"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1</w:t>
            </w:r>
          </w:p>
        </w:tc>
        <w:tc>
          <w:tcPr>
            <w:tcW w:w="813" w:type="dxa"/>
            <w:vMerge w:val="restart"/>
            <w:vAlign w:val="center"/>
          </w:tcPr>
          <w:p>
            <w:pPr>
              <w:spacing w:line="560" w:lineRule="exact"/>
              <w:jc w:val="center"/>
              <w:rPr>
                <w:rFonts w:hint="eastAsia" w:ascii="仿宋_GB2312" w:hAnsi="黑体" w:eastAsia="仿宋_GB2312" w:cs="宋体"/>
                <w:sz w:val="22"/>
              </w:rPr>
            </w:pPr>
          </w:p>
        </w:tc>
        <w:tc>
          <w:tcPr>
            <w:tcW w:w="1450" w:type="dxa"/>
            <w:vMerge w:val="restart"/>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仿宋_GB2312" w:hAnsi="仿宋_GB2312" w:eastAsia="仿宋_GB2312"/>
                <w:spacing w:val="-20"/>
                <w:sz w:val="20"/>
                <w:szCs w:val="20"/>
              </w:rPr>
              <w:t>审查</w:t>
            </w:r>
          </w:p>
        </w:tc>
        <w:tc>
          <w:tcPr>
            <w:tcW w:w="3775" w:type="dxa"/>
            <w:vAlign w:val="center"/>
          </w:tcPr>
          <w:p>
            <w:pPr>
              <w:autoSpaceDE w:val="0"/>
              <w:autoSpaceDN w:val="0"/>
              <w:spacing w:line="240" w:lineRule="exact"/>
              <w:rPr>
                <w:rFonts w:hint="eastAsia" w:ascii="仿宋_GB2312" w:hAnsi="仿宋_GB2312" w:eastAsia="仿宋_GB2312"/>
                <w:spacing w:val="-20"/>
                <w:sz w:val="20"/>
                <w:szCs w:val="20"/>
              </w:rPr>
            </w:pPr>
            <w:r>
              <w:rPr>
                <w:rFonts w:hint="eastAsia"/>
                <w:color w:val="000000"/>
                <w:sz w:val="20"/>
                <w:szCs w:val="20"/>
              </w:rPr>
              <w:t>2.审查阶段责任：材料审核；提出初审意见。</w:t>
            </w:r>
          </w:p>
        </w:tc>
        <w:tc>
          <w:tcPr>
            <w:tcW w:w="1161" w:type="dxa"/>
            <w:vAlign w:val="center"/>
          </w:tcPr>
          <w:p>
            <w:pPr>
              <w:spacing w:line="300" w:lineRule="exact"/>
              <w:jc w:val="center"/>
              <w:rPr>
                <w:rFonts w:hint="eastAsia" w:ascii="仿宋_GB2312" w:hAnsi="黑体" w:eastAsia="仿宋_GB2312" w:cs="宋体"/>
                <w:sz w:val="20"/>
                <w:szCs w:val="20"/>
              </w:rPr>
            </w:pPr>
            <w:r>
              <w:rPr>
                <w:rFonts w:hint="eastAsia" w:ascii="仿宋_GB2312" w:hAnsi="黑体" w:eastAsia="仿宋_GB2312" w:cs="宋体"/>
                <w:sz w:val="20"/>
                <w:szCs w:val="20"/>
              </w:rPr>
              <w:t>行政审批服务</w:t>
            </w:r>
            <w:r>
              <w:rPr>
                <w:rFonts w:hint="eastAsia" w:ascii="仿宋_GB2312" w:hAnsi="黑体" w:eastAsia="仿宋_GB2312" w:cs="宋体"/>
                <w:sz w:val="20"/>
                <w:szCs w:val="20"/>
                <w:lang w:val="en-US" w:eastAsia="zh-CN"/>
              </w:rPr>
              <w:t>股</w:t>
            </w:r>
          </w:p>
        </w:tc>
        <w:tc>
          <w:tcPr>
            <w:tcW w:w="849"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2</w:t>
            </w:r>
          </w:p>
        </w:tc>
        <w:tc>
          <w:tcPr>
            <w:tcW w:w="813" w:type="dxa"/>
            <w:vMerge w:val="continue"/>
            <w:vAlign w:val="center"/>
          </w:tcPr>
          <w:p>
            <w:pPr>
              <w:spacing w:line="560" w:lineRule="exact"/>
              <w:jc w:val="center"/>
              <w:rPr>
                <w:rFonts w:hint="eastAsia" w:ascii="仿宋_GB2312" w:hAnsi="黑体" w:eastAsia="仿宋_GB2312" w:cs="宋体"/>
                <w:sz w:val="22"/>
              </w:rPr>
            </w:pPr>
          </w:p>
        </w:tc>
        <w:tc>
          <w:tcPr>
            <w:tcW w:w="1450"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仿宋_GB2312" w:hAnsi="仿宋_GB2312" w:eastAsia="仿宋_GB2312"/>
                <w:spacing w:val="-20"/>
                <w:sz w:val="20"/>
                <w:szCs w:val="20"/>
              </w:rPr>
              <w:t>决定</w:t>
            </w:r>
          </w:p>
        </w:tc>
        <w:tc>
          <w:tcPr>
            <w:tcW w:w="3775" w:type="dxa"/>
            <w:vAlign w:val="center"/>
          </w:tcPr>
          <w:p>
            <w:pPr>
              <w:autoSpaceDE w:val="0"/>
              <w:autoSpaceDN w:val="0"/>
              <w:spacing w:line="240" w:lineRule="exact"/>
              <w:rPr>
                <w:rFonts w:hint="eastAsia" w:ascii="仿宋_GB2312" w:hAnsi="仿宋_GB2312" w:eastAsia="仿宋_GB2312"/>
                <w:spacing w:val="-20"/>
                <w:sz w:val="20"/>
                <w:szCs w:val="20"/>
              </w:rPr>
            </w:pPr>
            <w:r>
              <w:rPr>
                <w:rFonts w:hint="eastAsia"/>
                <w:color w:val="000000"/>
                <w:sz w:val="20"/>
                <w:szCs w:val="20"/>
              </w:rPr>
              <w:t>3.决定阶段责任：作出初审批准或者不批准的决定（不批准的告知理由）；按时办结；法定告知。</w:t>
            </w:r>
          </w:p>
        </w:tc>
        <w:tc>
          <w:tcPr>
            <w:tcW w:w="1161" w:type="dxa"/>
            <w:vAlign w:val="center"/>
          </w:tcPr>
          <w:p>
            <w:pPr>
              <w:spacing w:line="300" w:lineRule="exact"/>
              <w:jc w:val="center"/>
              <w:rPr>
                <w:rFonts w:hint="eastAsia" w:ascii="仿宋_GB2312" w:hAnsi="黑体" w:eastAsia="仿宋_GB2312" w:cs="宋体"/>
                <w:sz w:val="20"/>
                <w:szCs w:val="20"/>
              </w:rPr>
            </w:pPr>
            <w:r>
              <w:rPr>
                <w:rFonts w:hint="eastAsia" w:ascii="仿宋_GB2312" w:hAnsi="黑体" w:eastAsia="仿宋_GB2312" w:cs="宋体"/>
                <w:sz w:val="20"/>
                <w:szCs w:val="20"/>
              </w:rPr>
              <w:t>行政审批服务</w:t>
            </w:r>
            <w:r>
              <w:rPr>
                <w:rFonts w:hint="eastAsia" w:ascii="仿宋_GB2312" w:hAnsi="黑体" w:eastAsia="仿宋_GB2312" w:cs="宋体"/>
                <w:sz w:val="20"/>
                <w:szCs w:val="20"/>
                <w:lang w:val="en-US" w:eastAsia="zh-CN"/>
              </w:rPr>
              <w:t>股</w:t>
            </w:r>
          </w:p>
        </w:tc>
        <w:tc>
          <w:tcPr>
            <w:tcW w:w="849"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1</w:t>
            </w:r>
          </w:p>
        </w:tc>
        <w:tc>
          <w:tcPr>
            <w:tcW w:w="813" w:type="dxa"/>
            <w:vMerge w:val="continue"/>
            <w:vAlign w:val="center"/>
          </w:tcPr>
          <w:p>
            <w:pPr>
              <w:spacing w:line="560" w:lineRule="exact"/>
              <w:jc w:val="center"/>
              <w:rPr>
                <w:rFonts w:hint="eastAsia" w:ascii="仿宋_GB2312" w:hAnsi="黑体" w:eastAsia="仿宋_GB2312" w:cs="宋体"/>
                <w:sz w:val="22"/>
              </w:rPr>
            </w:pPr>
          </w:p>
        </w:tc>
        <w:tc>
          <w:tcPr>
            <w:tcW w:w="1450"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仿宋_GB2312" w:hAnsi="仿宋_GB2312" w:eastAsia="仿宋_GB2312"/>
                <w:spacing w:val="-20"/>
                <w:sz w:val="20"/>
                <w:szCs w:val="20"/>
              </w:rPr>
              <w:t>送达</w:t>
            </w:r>
          </w:p>
        </w:tc>
        <w:tc>
          <w:tcPr>
            <w:tcW w:w="3775" w:type="dxa"/>
            <w:vAlign w:val="center"/>
          </w:tcPr>
          <w:p>
            <w:pPr>
              <w:autoSpaceDE w:val="0"/>
              <w:autoSpaceDN w:val="0"/>
              <w:spacing w:line="240" w:lineRule="exact"/>
              <w:rPr>
                <w:rFonts w:hint="eastAsia" w:ascii="仿宋_GB2312" w:hAnsi="仿宋_GB2312" w:eastAsia="仿宋_GB2312"/>
                <w:spacing w:val="-20"/>
                <w:sz w:val="20"/>
                <w:szCs w:val="20"/>
              </w:rPr>
            </w:pPr>
            <w:r>
              <w:rPr>
                <w:rFonts w:hint="eastAsia"/>
                <w:color w:val="000000"/>
                <w:sz w:val="20"/>
                <w:szCs w:val="20"/>
              </w:rPr>
              <w:t>4.送达阶段责任：</w:t>
            </w:r>
            <w:r>
              <w:rPr>
                <w:rFonts w:hint="eastAsia"/>
                <w:color w:val="000000"/>
                <w:sz w:val="20"/>
                <w:szCs w:val="20"/>
                <w:lang w:val="en-US" w:eastAsia="zh-CN"/>
              </w:rPr>
              <w:t>制作</w:t>
            </w:r>
            <w:r>
              <w:rPr>
                <w:rFonts w:hint="eastAsia"/>
                <w:color w:val="000000"/>
                <w:sz w:val="20"/>
                <w:szCs w:val="20"/>
              </w:rPr>
              <w:t>文书</w:t>
            </w:r>
            <w:r>
              <w:rPr>
                <w:rFonts w:hint="eastAsia"/>
                <w:color w:val="000000"/>
                <w:sz w:val="20"/>
                <w:szCs w:val="20"/>
                <w:lang w:eastAsia="zh-CN"/>
              </w:rPr>
              <w:t>，</w:t>
            </w:r>
            <w:r>
              <w:rPr>
                <w:rFonts w:hint="eastAsia"/>
                <w:color w:val="000000"/>
                <w:sz w:val="20"/>
                <w:szCs w:val="20"/>
                <w:lang w:val="en-US" w:eastAsia="zh-CN"/>
              </w:rPr>
              <w:t>报送市商务局</w:t>
            </w:r>
            <w:r>
              <w:rPr>
                <w:rFonts w:hint="eastAsia"/>
                <w:color w:val="000000"/>
                <w:sz w:val="20"/>
                <w:szCs w:val="20"/>
              </w:rPr>
              <w:t>；信息公开。</w:t>
            </w:r>
          </w:p>
        </w:tc>
        <w:tc>
          <w:tcPr>
            <w:tcW w:w="1161" w:type="dxa"/>
            <w:vAlign w:val="center"/>
          </w:tcPr>
          <w:p>
            <w:pPr>
              <w:spacing w:line="300" w:lineRule="exact"/>
              <w:jc w:val="center"/>
              <w:rPr>
                <w:rFonts w:hint="eastAsia" w:ascii="仿宋_GB2312" w:hAnsi="黑体" w:eastAsia="仿宋_GB2312" w:cs="宋体"/>
                <w:sz w:val="20"/>
                <w:szCs w:val="20"/>
              </w:rPr>
            </w:pPr>
            <w:r>
              <w:rPr>
                <w:rFonts w:hint="eastAsia" w:ascii="仿宋_GB2312" w:hAnsi="黑体" w:eastAsia="仿宋_GB2312" w:cs="宋体"/>
                <w:sz w:val="20"/>
                <w:szCs w:val="20"/>
              </w:rPr>
              <w:t>行政审批服务</w:t>
            </w:r>
            <w:r>
              <w:rPr>
                <w:rFonts w:hint="eastAsia" w:ascii="仿宋_GB2312" w:hAnsi="黑体" w:eastAsia="仿宋_GB2312" w:cs="宋体"/>
                <w:sz w:val="20"/>
                <w:szCs w:val="20"/>
                <w:lang w:val="en-US" w:eastAsia="zh-CN"/>
              </w:rPr>
              <w:t>股</w:t>
            </w:r>
          </w:p>
        </w:tc>
        <w:tc>
          <w:tcPr>
            <w:tcW w:w="849" w:type="dxa"/>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5</w:t>
            </w:r>
          </w:p>
        </w:tc>
        <w:tc>
          <w:tcPr>
            <w:tcW w:w="813" w:type="dxa"/>
            <w:vMerge w:val="continue"/>
            <w:vAlign w:val="center"/>
          </w:tcPr>
          <w:p>
            <w:pPr>
              <w:spacing w:line="560" w:lineRule="exact"/>
              <w:jc w:val="center"/>
              <w:rPr>
                <w:rFonts w:hint="eastAsia" w:ascii="仿宋_GB2312" w:hAnsi="黑体" w:eastAsia="仿宋_GB2312" w:cs="宋体"/>
                <w:sz w:val="22"/>
              </w:rPr>
            </w:pPr>
          </w:p>
        </w:tc>
        <w:tc>
          <w:tcPr>
            <w:tcW w:w="1450"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仿宋_GB2312" w:hAnsi="仿宋_GB2312" w:eastAsia="仿宋_GB2312"/>
                <w:spacing w:val="-20"/>
                <w:sz w:val="20"/>
                <w:szCs w:val="20"/>
              </w:rPr>
              <w:t>事后监管</w:t>
            </w:r>
          </w:p>
        </w:tc>
        <w:tc>
          <w:tcPr>
            <w:tcW w:w="3775" w:type="dxa"/>
            <w:vAlign w:val="center"/>
          </w:tcPr>
          <w:p>
            <w:pPr>
              <w:autoSpaceDE w:val="0"/>
              <w:autoSpaceDN w:val="0"/>
              <w:spacing w:line="240" w:lineRule="exact"/>
              <w:rPr>
                <w:rFonts w:hint="eastAsia" w:ascii="仿宋_GB2312" w:hAnsi="仿宋_GB2312" w:eastAsia="仿宋_GB2312"/>
                <w:spacing w:val="-20"/>
                <w:sz w:val="20"/>
                <w:szCs w:val="20"/>
              </w:rPr>
            </w:pPr>
            <w:r>
              <w:rPr>
                <w:rFonts w:hint="eastAsia"/>
                <w:color w:val="000000"/>
                <w:sz w:val="20"/>
                <w:szCs w:val="20"/>
              </w:rPr>
              <w:t>5.事后监管责任：开展定期和不定期检查。</w:t>
            </w:r>
          </w:p>
        </w:tc>
        <w:tc>
          <w:tcPr>
            <w:tcW w:w="1161" w:type="dxa"/>
            <w:vAlign w:val="center"/>
          </w:tcPr>
          <w:p>
            <w:pPr>
              <w:spacing w:line="300" w:lineRule="exact"/>
              <w:jc w:val="center"/>
              <w:rPr>
                <w:rFonts w:hint="eastAsia" w:ascii="仿宋_GB2312" w:hAnsi="黑体" w:eastAsia="仿宋_GB2312" w:cs="宋体"/>
                <w:sz w:val="20"/>
                <w:szCs w:val="20"/>
              </w:rPr>
            </w:pPr>
            <w:r>
              <w:rPr>
                <w:rFonts w:hint="eastAsia" w:ascii="仿宋_GB2312" w:hAnsi="黑体" w:eastAsia="仿宋_GB2312" w:cs="宋体"/>
                <w:sz w:val="20"/>
                <w:szCs w:val="20"/>
              </w:rPr>
              <w:t>对外投资和经济合作</w:t>
            </w:r>
            <w:r>
              <w:rPr>
                <w:rFonts w:hint="eastAsia" w:ascii="仿宋_GB2312" w:hAnsi="黑体" w:eastAsia="仿宋_GB2312" w:cs="宋体"/>
                <w:sz w:val="20"/>
                <w:szCs w:val="20"/>
                <w:lang w:val="en-US" w:eastAsia="zh-CN"/>
              </w:rPr>
              <w:t>股</w:t>
            </w:r>
          </w:p>
        </w:tc>
        <w:tc>
          <w:tcPr>
            <w:tcW w:w="849" w:type="dxa"/>
            <w:vAlign w:val="center"/>
          </w:tcPr>
          <w:p>
            <w:pPr>
              <w:spacing w:line="560" w:lineRule="exact"/>
              <w:jc w:val="center"/>
              <w:rPr>
                <w:rFonts w:hint="eastAsia" w:ascii="仿宋_GB2312" w:hAnsi="黑体" w:eastAsia="仿宋_GB2312" w:cs="宋体"/>
                <w:sz w:val="22"/>
              </w:rPr>
            </w:pPr>
          </w:p>
        </w:tc>
        <w:tc>
          <w:tcPr>
            <w:tcW w:w="813" w:type="dxa"/>
            <w:vMerge w:val="continue"/>
            <w:vAlign w:val="center"/>
          </w:tcPr>
          <w:p>
            <w:pPr>
              <w:spacing w:line="560" w:lineRule="exact"/>
              <w:jc w:val="center"/>
              <w:rPr>
                <w:rFonts w:hint="eastAsia" w:ascii="仿宋_GB2312" w:hAnsi="黑体" w:eastAsia="仿宋_GB2312" w:cs="宋体"/>
                <w:sz w:val="22"/>
              </w:rPr>
            </w:pPr>
          </w:p>
        </w:tc>
        <w:tc>
          <w:tcPr>
            <w:tcW w:w="1450"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p>
        </w:tc>
        <w:tc>
          <w:tcPr>
            <w:tcW w:w="3775" w:type="dxa"/>
            <w:vAlign w:val="center"/>
          </w:tcPr>
          <w:p>
            <w:pPr>
              <w:autoSpaceDE w:val="0"/>
              <w:autoSpaceDN w:val="0"/>
              <w:spacing w:line="240" w:lineRule="exact"/>
              <w:rPr>
                <w:rFonts w:hint="eastAsia" w:ascii="仿宋_GB2312" w:hAnsi="仿宋_GB2312" w:eastAsia="仿宋_GB2312"/>
                <w:spacing w:val="-20"/>
                <w:sz w:val="20"/>
                <w:szCs w:val="20"/>
              </w:rPr>
            </w:pPr>
            <w:r>
              <w:rPr>
                <w:rFonts w:hint="eastAsia"/>
                <w:color w:val="000000"/>
                <w:sz w:val="20"/>
                <w:szCs w:val="20"/>
              </w:rPr>
              <w:t>6.其他法律法规规章文件规定应履行的责任。</w:t>
            </w:r>
          </w:p>
        </w:tc>
        <w:tc>
          <w:tcPr>
            <w:tcW w:w="1161" w:type="dxa"/>
            <w:vAlign w:val="center"/>
          </w:tcPr>
          <w:p>
            <w:pPr>
              <w:spacing w:line="300" w:lineRule="exact"/>
              <w:jc w:val="center"/>
              <w:rPr>
                <w:rFonts w:hint="eastAsia" w:ascii="仿宋_GB2312" w:hAnsi="黑体" w:eastAsia="仿宋_GB2312" w:cs="宋体"/>
                <w:sz w:val="20"/>
                <w:szCs w:val="20"/>
              </w:rPr>
            </w:pPr>
            <w:r>
              <w:rPr>
                <w:rFonts w:hint="eastAsia" w:ascii="仿宋_GB2312" w:hAnsi="黑体" w:eastAsia="仿宋_GB2312" w:cs="宋体"/>
                <w:sz w:val="20"/>
                <w:szCs w:val="20"/>
              </w:rPr>
              <w:t>行政审批服务</w:t>
            </w:r>
            <w:r>
              <w:rPr>
                <w:rFonts w:hint="eastAsia" w:ascii="仿宋_GB2312" w:hAnsi="黑体" w:eastAsia="仿宋_GB2312" w:cs="宋体"/>
                <w:sz w:val="20"/>
                <w:szCs w:val="20"/>
                <w:lang w:val="en-US" w:eastAsia="zh-CN"/>
              </w:rPr>
              <w:t>股</w:t>
            </w:r>
          </w:p>
        </w:tc>
        <w:tc>
          <w:tcPr>
            <w:tcW w:w="849" w:type="dxa"/>
            <w:vAlign w:val="center"/>
          </w:tcPr>
          <w:p>
            <w:pPr>
              <w:spacing w:line="560" w:lineRule="exact"/>
              <w:jc w:val="center"/>
              <w:rPr>
                <w:rFonts w:hint="eastAsia" w:ascii="仿宋_GB2312" w:hAnsi="黑体" w:eastAsia="仿宋_GB2312" w:cs="宋体"/>
                <w:sz w:val="22"/>
              </w:rPr>
            </w:pPr>
          </w:p>
        </w:tc>
        <w:tc>
          <w:tcPr>
            <w:tcW w:w="813" w:type="dxa"/>
            <w:vMerge w:val="continue"/>
            <w:vAlign w:val="center"/>
          </w:tcPr>
          <w:p>
            <w:pPr>
              <w:spacing w:line="560" w:lineRule="exact"/>
              <w:jc w:val="center"/>
              <w:rPr>
                <w:rFonts w:hint="eastAsia" w:ascii="仿宋_GB2312" w:hAnsi="黑体" w:eastAsia="仿宋_GB2312" w:cs="宋体"/>
                <w:sz w:val="22"/>
              </w:rPr>
            </w:pPr>
          </w:p>
        </w:tc>
        <w:tc>
          <w:tcPr>
            <w:tcW w:w="1450"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12" w:hRule="atLeast"/>
          <w:jc w:val="center"/>
        </w:trPr>
        <w:tc>
          <w:tcPr>
            <w:tcW w:w="14174"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服务电话：</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投诉机构：</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商务举报投诉服务站</w:t>
            </w:r>
            <w:r>
              <w:rPr>
                <w:rFonts w:hint="eastAsia" w:ascii="仿宋_GB2312" w:hAnsi="黑体" w:eastAsia="仿宋_GB2312" w:cs="宋体"/>
                <w:sz w:val="22"/>
              </w:rPr>
              <w:t xml:space="preserve">      投诉电话：0394-</w:t>
            </w:r>
            <w:r>
              <w:rPr>
                <w:rFonts w:hint="eastAsia" w:ascii="仿宋_GB2312" w:hAnsi="黑体" w:eastAsia="仿宋_GB2312" w:cs="宋体"/>
                <w:sz w:val="22"/>
                <w:lang w:val="en-US" w:eastAsia="zh-CN"/>
              </w:rPr>
              <w:t>3229596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12" w:hRule="atLeast"/>
          <w:jc w:val="center"/>
        </w:trPr>
        <w:tc>
          <w:tcPr>
            <w:tcW w:w="14174"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受理地点：</w:t>
            </w:r>
            <w:r>
              <w:rPr>
                <w:rFonts w:hint="eastAsia" w:ascii="仿宋_GB2312" w:hAnsi="黑体" w:eastAsia="仿宋_GB2312" w:cs="宋体"/>
                <w:sz w:val="22"/>
                <w:lang w:val="en-US" w:eastAsia="zh-CN"/>
              </w:rPr>
              <w:t>郸城县世纪大道南段商务局二楼</w:t>
            </w:r>
          </w:p>
        </w:tc>
      </w:tr>
    </w:tbl>
    <w:p>
      <w:pPr>
        <w:ind w:firstLine="420" w:firstLineChars="200"/>
      </w:pPr>
    </w:p>
    <w:p>
      <w:pPr>
        <w:spacing w:line="560" w:lineRule="exact"/>
        <w:jc w:val="center"/>
        <w:rPr>
          <w:rFonts w:hint="eastAsia" w:ascii="黑体" w:eastAsia="黑体"/>
          <w:sz w:val="32"/>
          <w:szCs w:val="32"/>
          <w:lang w:val="zh-CN" w:eastAsia="zh-CN"/>
        </w:rPr>
      </w:pPr>
      <w:r>
        <w:br w:type="page"/>
      </w:r>
      <w:r>
        <w:rPr>
          <w:rFonts w:hint="eastAsia" w:ascii="黑体" w:eastAsia="黑体"/>
          <w:sz w:val="32"/>
          <w:szCs w:val="32"/>
          <w:lang w:val="en-US" w:eastAsia="zh-CN"/>
        </w:rPr>
        <w:t>郸城县</w:t>
      </w:r>
      <w:r>
        <w:rPr>
          <w:rFonts w:hint="eastAsia" w:ascii="黑体" w:eastAsia="黑体"/>
          <w:sz w:val="32"/>
          <w:szCs w:val="32"/>
          <w:lang w:val="zh-CN" w:eastAsia="zh-CN"/>
        </w:rPr>
        <w:t>商务局责任清单</w:t>
      </w:r>
    </w:p>
    <w:p>
      <w:pPr>
        <w:spacing w:line="560" w:lineRule="exact"/>
        <w:ind w:firstLine="440" w:firstLineChars="200"/>
        <w:rPr>
          <w:rFonts w:hint="eastAsia" w:ascii="仿宋_GB2312" w:hAnsi="黑体" w:eastAsia="仿宋_GB2312" w:cs="宋体"/>
          <w:sz w:val="22"/>
        </w:rPr>
      </w:pPr>
      <w:r>
        <w:rPr>
          <w:rFonts w:hint="eastAsia" w:ascii="仿宋_GB2312" w:hAnsi="黑体" w:eastAsia="仿宋_GB2312" w:cs="宋体"/>
          <w:sz w:val="22"/>
        </w:rPr>
        <w:t>职权类别：其他职权</w:t>
      </w:r>
    </w:p>
    <w:tbl>
      <w:tblPr>
        <w:tblStyle w:val="6"/>
        <w:tblW w:w="14174"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18"/>
        <w:gridCol w:w="1199"/>
        <w:gridCol w:w="3135"/>
        <w:gridCol w:w="1074"/>
        <w:gridCol w:w="3775"/>
        <w:gridCol w:w="1161"/>
        <w:gridCol w:w="849"/>
        <w:gridCol w:w="813"/>
        <w:gridCol w:w="145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8" w:hRule="atLeast"/>
          <w:jc w:val="center"/>
        </w:trPr>
        <w:tc>
          <w:tcPr>
            <w:tcW w:w="718"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序号</w:t>
            </w:r>
          </w:p>
        </w:tc>
        <w:tc>
          <w:tcPr>
            <w:tcW w:w="119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职权名称</w:t>
            </w:r>
          </w:p>
        </w:tc>
        <w:tc>
          <w:tcPr>
            <w:tcW w:w="313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实施依据</w:t>
            </w:r>
          </w:p>
        </w:tc>
        <w:tc>
          <w:tcPr>
            <w:tcW w:w="1074"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办理</w:t>
            </w:r>
          </w:p>
          <w:p>
            <w:pPr>
              <w:spacing w:line="360" w:lineRule="exact"/>
              <w:jc w:val="center"/>
              <w:rPr>
                <w:rFonts w:hint="eastAsia" w:ascii="黑体" w:hAnsi="黑体" w:eastAsia="黑体" w:cs="黑体"/>
                <w:sz w:val="22"/>
              </w:rPr>
            </w:pPr>
            <w:r>
              <w:rPr>
                <w:rFonts w:hint="eastAsia" w:ascii="黑体" w:hAnsi="黑体" w:eastAsia="黑体" w:cs="黑体"/>
                <w:sz w:val="22"/>
              </w:rPr>
              <w:t>环节</w:t>
            </w:r>
          </w:p>
        </w:tc>
        <w:tc>
          <w:tcPr>
            <w:tcW w:w="377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责任事项</w:t>
            </w:r>
          </w:p>
        </w:tc>
        <w:tc>
          <w:tcPr>
            <w:tcW w:w="1161"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w:t>
            </w:r>
            <w:r>
              <w:rPr>
                <w:rFonts w:hint="eastAsia" w:ascii="黑体" w:hAnsi="黑体" w:eastAsia="黑体" w:cs="黑体"/>
                <w:sz w:val="22"/>
                <w:lang w:val="en-US" w:eastAsia="zh-CN"/>
              </w:rPr>
              <w:t>股</w:t>
            </w:r>
            <w:r>
              <w:rPr>
                <w:rFonts w:hint="eastAsia" w:ascii="黑体" w:hAnsi="黑体" w:eastAsia="黑体" w:cs="黑体"/>
                <w:sz w:val="22"/>
              </w:rPr>
              <w:t>室</w:t>
            </w:r>
          </w:p>
        </w:tc>
        <w:tc>
          <w:tcPr>
            <w:tcW w:w="84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承诺时限</w:t>
            </w:r>
          </w:p>
        </w:tc>
        <w:tc>
          <w:tcPr>
            <w:tcW w:w="813"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法定时限</w:t>
            </w:r>
          </w:p>
        </w:tc>
        <w:tc>
          <w:tcPr>
            <w:tcW w:w="1450"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restart"/>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62</w:t>
            </w:r>
          </w:p>
        </w:tc>
        <w:tc>
          <w:tcPr>
            <w:tcW w:w="1199" w:type="dxa"/>
            <w:vMerge w:val="restart"/>
            <w:vAlign w:val="center"/>
          </w:tcPr>
          <w:p>
            <w:pPr>
              <w:autoSpaceDE w:val="0"/>
              <w:autoSpaceDN w:val="0"/>
              <w:spacing w:line="300" w:lineRule="exact"/>
              <w:rPr>
                <w:rFonts w:hint="eastAsia" w:ascii="仿宋_GB2312" w:hAnsi="黑体" w:eastAsia="仿宋_GB2312" w:cs="宋体"/>
                <w:spacing w:val="-20"/>
                <w:sz w:val="22"/>
              </w:rPr>
            </w:pPr>
            <w:r>
              <w:rPr>
                <w:rFonts w:hint="eastAsia"/>
              </w:rPr>
              <w:t>企业境外投资申请转报</w:t>
            </w:r>
          </w:p>
        </w:tc>
        <w:tc>
          <w:tcPr>
            <w:tcW w:w="3135" w:type="dxa"/>
            <w:vMerge w:val="restart"/>
            <w:vAlign w:val="center"/>
          </w:tcPr>
          <w:p>
            <w:pPr>
              <w:autoSpaceDE w:val="0"/>
              <w:autoSpaceDN w:val="0"/>
              <w:spacing w:line="240" w:lineRule="exact"/>
              <w:rPr>
                <w:rFonts w:hint="eastAsia" w:ascii="仿宋_GB2312" w:hAnsi="黑体" w:eastAsia="仿宋_GB2312" w:cs="宋体"/>
                <w:spacing w:val="-20"/>
                <w:sz w:val="22"/>
              </w:rPr>
            </w:pPr>
            <w:r>
              <w:rPr>
                <w:rFonts w:hint="eastAsia"/>
              </w:rPr>
              <w:t xml:space="preserve">    《境外投资管理办法》（商务部令2014年第5号）第五条：“商务部和省级商务主管部门对企业境外投资实行核准。商务部建立“境外投资管理系统”。对予以核准的企业，颁发《企业境外投资证书》…… ”第七条：“ 地方企业开展以下情形的境外投资应当按照本办法第十二条要求提交申请材料，并按第十四条的规定报省级商务主管部门核准……”</w:t>
            </w: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仿宋_GB2312" w:hAnsi="仿宋_GB2312" w:eastAsia="仿宋_GB2312"/>
                <w:spacing w:val="-20"/>
                <w:sz w:val="20"/>
                <w:szCs w:val="20"/>
              </w:rPr>
              <w:t>受理</w:t>
            </w:r>
          </w:p>
        </w:tc>
        <w:tc>
          <w:tcPr>
            <w:tcW w:w="3775" w:type="dxa"/>
            <w:vAlign w:val="center"/>
          </w:tcPr>
          <w:p>
            <w:pPr>
              <w:autoSpaceDE w:val="0"/>
              <w:autoSpaceDN w:val="0"/>
              <w:spacing w:line="240" w:lineRule="exact"/>
              <w:rPr>
                <w:rFonts w:hint="eastAsia" w:ascii="仿宋_GB2312" w:hAnsi="黑体" w:eastAsia="仿宋_GB2312" w:cs="宋体"/>
                <w:sz w:val="22"/>
              </w:rPr>
            </w:pPr>
            <w:r>
              <w:rPr>
                <w:rFonts w:hint="eastAsia"/>
                <w:color w:val="000000"/>
                <w:sz w:val="20"/>
                <w:szCs w:val="20"/>
              </w:rPr>
              <w:t>1.受理阶段责任：公示依法应当提交的材料；一次性告知补正材料；依法受理或不予受理（不予受理的告知理由）。</w:t>
            </w:r>
          </w:p>
        </w:tc>
        <w:tc>
          <w:tcPr>
            <w:tcW w:w="1161" w:type="dxa"/>
            <w:vAlign w:val="center"/>
          </w:tcPr>
          <w:p>
            <w:pPr>
              <w:spacing w:line="300" w:lineRule="exact"/>
              <w:jc w:val="center"/>
              <w:rPr>
                <w:rFonts w:hint="eastAsia" w:ascii="仿宋_GB2312" w:hAnsi="黑体" w:eastAsia="仿宋_GB2312" w:cs="宋体"/>
                <w:sz w:val="20"/>
                <w:szCs w:val="20"/>
              </w:rPr>
            </w:pPr>
            <w:r>
              <w:rPr>
                <w:rFonts w:hint="eastAsia" w:ascii="仿宋_GB2312" w:hAnsi="黑体" w:eastAsia="仿宋_GB2312" w:cs="宋体"/>
                <w:sz w:val="20"/>
                <w:szCs w:val="20"/>
              </w:rPr>
              <w:t>行政审批服务</w:t>
            </w:r>
            <w:r>
              <w:rPr>
                <w:rFonts w:hint="eastAsia" w:ascii="仿宋_GB2312" w:hAnsi="黑体" w:eastAsia="仿宋_GB2312" w:cs="宋体"/>
                <w:sz w:val="20"/>
                <w:szCs w:val="20"/>
                <w:lang w:val="en-US" w:eastAsia="zh-CN"/>
              </w:rPr>
              <w:t>股</w:t>
            </w:r>
          </w:p>
        </w:tc>
        <w:tc>
          <w:tcPr>
            <w:tcW w:w="849"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1</w:t>
            </w:r>
          </w:p>
        </w:tc>
        <w:tc>
          <w:tcPr>
            <w:tcW w:w="813" w:type="dxa"/>
            <w:vMerge w:val="restart"/>
            <w:vAlign w:val="center"/>
          </w:tcPr>
          <w:p>
            <w:pPr>
              <w:spacing w:line="560" w:lineRule="exact"/>
              <w:jc w:val="center"/>
              <w:rPr>
                <w:rFonts w:hint="eastAsia" w:ascii="仿宋_GB2312" w:hAnsi="黑体" w:eastAsia="仿宋_GB2312" w:cs="宋体"/>
                <w:sz w:val="22"/>
              </w:rPr>
            </w:pPr>
          </w:p>
        </w:tc>
        <w:tc>
          <w:tcPr>
            <w:tcW w:w="1450" w:type="dxa"/>
            <w:vMerge w:val="restart"/>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仿宋_GB2312" w:hAnsi="仿宋_GB2312" w:eastAsia="仿宋_GB2312"/>
                <w:spacing w:val="-20"/>
                <w:sz w:val="20"/>
                <w:szCs w:val="20"/>
              </w:rPr>
              <w:t>审查</w:t>
            </w:r>
          </w:p>
        </w:tc>
        <w:tc>
          <w:tcPr>
            <w:tcW w:w="3775" w:type="dxa"/>
            <w:vAlign w:val="center"/>
          </w:tcPr>
          <w:p>
            <w:pPr>
              <w:autoSpaceDE w:val="0"/>
              <w:autoSpaceDN w:val="0"/>
              <w:spacing w:line="240" w:lineRule="exact"/>
              <w:rPr>
                <w:rFonts w:hint="eastAsia" w:ascii="仿宋_GB2312" w:hAnsi="仿宋_GB2312" w:eastAsia="仿宋_GB2312"/>
                <w:spacing w:val="-20"/>
                <w:sz w:val="20"/>
                <w:szCs w:val="20"/>
              </w:rPr>
            </w:pPr>
            <w:r>
              <w:rPr>
                <w:rFonts w:hint="eastAsia"/>
                <w:color w:val="000000"/>
                <w:sz w:val="20"/>
                <w:szCs w:val="20"/>
              </w:rPr>
              <w:t>2.审查阶段责任：材料审核；提出初审意见。</w:t>
            </w:r>
          </w:p>
        </w:tc>
        <w:tc>
          <w:tcPr>
            <w:tcW w:w="1161" w:type="dxa"/>
            <w:vAlign w:val="center"/>
          </w:tcPr>
          <w:p>
            <w:pPr>
              <w:spacing w:line="300" w:lineRule="exact"/>
              <w:jc w:val="center"/>
              <w:rPr>
                <w:rFonts w:hint="eastAsia" w:ascii="仿宋_GB2312" w:hAnsi="黑体" w:eastAsia="仿宋_GB2312" w:cs="宋体"/>
                <w:sz w:val="20"/>
                <w:szCs w:val="20"/>
              </w:rPr>
            </w:pPr>
            <w:r>
              <w:rPr>
                <w:rFonts w:hint="eastAsia" w:ascii="仿宋_GB2312" w:hAnsi="黑体" w:eastAsia="仿宋_GB2312" w:cs="宋体"/>
                <w:sz w:val="20"/>
                <w:szCs w:val="20"/>
              </w:rPr>
              <w:t>行政审批服务</w:t>
            </w:r>
            <w:r>
              <w:rPr>
                <w:rFonts w:hint="eastAsia" w:ascii="仿宋_GB2312" w:hAnsi="黑体" w:eastAsia="仿宋_GB2312" w:cs="宋体"/>
                <w:sz w:val="20"/>
                <w:szCs w:val="20"/>
                <w:lang w:val="en-US" w:eastAsia="zh-CN"/>
              </w:rPr>
              <w:t>股</w:t>
            </w:r>
          </w:p>
        </w:tc>
        <w:tc>
          <w:tcPr>
            <w:tcW w:w="849"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2</w:t>
            </w:r>
          </w:p>
        </w:tc>
        <w:tc>
          <w:tcPr>
            <w:tcW w:w="813" w:type="dxa"/>
            <w:vMerge w:val="continue"/>
            <w:vAlign w:val="center"/>
          </w:tcPr>
          <w:p>
            <w:pPr>
              <w:spacing w:line="560" w:lineRule="exact"/>
              <w:jc w:val="center"/>
              <w:rPr>
                <w:rFonts w:hint="eastAsia" w:ascii="仿宋_GB2312" w:hAnsi="黑体" w:eastAsia="仿宋_GB2312" w:cs="宋体"/>
                <w:sz w:val="22"/>
              </w:rPr>
            </w:pPr>
          </w:p>
        </w:tc>
        <w:tc>
          <w:tcPr>
            <w:tcW w:w="1450"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仿宋_GB2312" w:hAnsi="仿宋_GB2312" w:eastAsia="仿宋_GB2312"/>
                <w:spacing w:val="-20"/>
                <w:sz w:val="20"/>
                <w:szCs w:val="20"/>
              </w:rPr>
              <w:t>决定</w:t>
            </w:r>
          </w:p>
        </w:tc>
        <w:tc>
          <w:tcPr>
            <w:tcW w:w="3775" w:type="dxa"/>
            <w:vAlign w:val="center"/>
          </w:tcPr>
          <w:p>
            <w:pPr>
              <w:autoSpaceDE w:val="0"/>
              <w:autoSpaceDN w:val="0"/>
              <w:spacing w:line="240" w:lineRule="exact"/>
              <w:rPr>
                <w:rFonts w:hint="eastAsia" w:ascii="仿宋_GB2312" w:hAnsi="仿宋_GB2312" w:eastAsia="仿宋_GB2312"/>
                <w:spacing w:val="-20"/>
                <w:sz w:val="20"/>
                <w:szCs w:val="20"/>
              </w:rPr>
            </w:pPr>
            <w:r>
              <w:rPr>
                <w:rFonts w:hint="eastAsia"/>
                <w:color w:val="000000"/>
                <w:sz w:val="20"/>
                <w:szCs w:val="20"/>
              </w:rPr>
              <w:t>3.决定阶段责任：作出初审批准或者不批准的决定（不批准的告知理由）；按时办结；法定告知。</w:t>
            </w:r>
          </w:p>
        </w:tc>
        <w:tc>
          <w:tcPr>
            <w:tcW w:w="1161" w:type="dxa"/>
            <w:vAlign w:val="center"/>
          </w:tcPr>
          <w:p>
            <w:pPr>
              <w:spacing w:line="300" w:lineRule="exact"/>
              <w:jc w:val="center"/>
              <w:rPr>
                <w:rFonts w:hint="eastAsia" w:ascii="仿宋_GB2312" w:hAnsi="黑体" w:eastAsia="仿宋_GB2312" w:cs="宋体"/>
                <w:sz w:val="20"/>
                <w:szCs w:val="20"/>
              </w:rPr>
            </w:pPr>
            <w:r>
              <w:rPr>
                <w:rFonts w:hint="eastAsia" w:ascii="仿宋_GB2312" w:hAnsi="黑体" w:eastAsia="仿宋_GB2312" w:cs="宋体"/>
                <w:sz w:val="20"/>
                <w:szCs w:val="20"/>
              </w:rPr>
              <w:t>行政审批服务</w:t>
            </w:r>
            <w:r>
              <w:rPr>
                <w:rFonts w:hint="eastAsia" w:ascii="仿宋_GB2312" w:hAnsi="黑体" w:eastAsia="仿宋_GB2312" w:cs="宋体"/>
                <w:sz w:val="20"/>
                <w:szCs w:val="20"/>
                <w:lang w:val="en-US" w:eastAsia="zh-CN"/>
              </w:rPr>
              <w:t>股</w:t>
            </w:r>
          </w:p>
        </w:tc>
        <w:tc>
          <w:tcPr>
            <w:tcW w:w="849"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1</w:t>
            </w:r>
          </w:p>
        </w:tc>
        <w:tc>
          <w:tcPr>
            <w:tcW w:w="813" w:type="dxa"/>
            <w:vMerge w:val="continue"/>
            <w:vAlign w:val="center"/>
          </w:tcPr>
          <w:p>
            <w:pPr>
              <w:spacing w:line="560" w:lineRule="exact"/>
              <w:jc w:val="center"/>
              <w:rPr>
                <w:rFonts w:hint="eastAsia" w:ascii="仿宋_GB2312" w:hAnsi="黑体" w:eastAsia="仿宋_GB2312" w:cs="宋体"/>
                <w:sz w:val="22"/>
              </w:rPr>
            </w:pPr>
          </w:p>
        </w:tc>
        <w:tc>
          <w:tcPr>
            <w:tcW w:w="1450"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仿宋_GB2312" w:hAnsi="仿宋_GB2312" w:eastAsia="仿宋_GB2312"/>
                <w:spacing w:val="-20"/>
                <w:sz w:val="20"/>
                <w:szCs w:val="20"/>
              </w:rPr>
              <w:t>送达</w:t>
            </w:r>
          </w:p>
        </w:tc>
        <w:tc>
          <w:tcPr>
            <w:tcW w:w="3775" w:type="dxa"/>
            <w:vAlign w:val="center"/>
          </w:tcPr>
          <w:p>
            <w:pPr>
              <w:autoSpaceDE w:val="0"/>
              <w:autoSpaceDN w:val="0"/>
              <w:spacing w:line="240" w:lineRule="exact"/>
              <w:rPr>
                <w:rFonts w:hint="eastAsia" w:ascii="仿宋_GB2312" w:hAnsi="仿宋_GB2312" w:eastAsia="仿宋_GB2312"/>
                <w:spacing w:val="-20"/>
                <w:sz w:val="20"/>
                <w:szCs w:val="20"/>
              </w:rPr>
            </w:pPr>
            <w:r>
              <w:rPr>
                <w:rFonts w:hint="eastAsia"/>
                <w:color w:val="000000"/>
                <w:sz w:val="20"/>
                <w:szCs w:val="20"/>
              </w:rPr>
              <w:t>4.送达阶段责任：</w:t>
            </w:r>
            <w:r>
              <w:rPr>
                <w:rFonts w:hint="eastAsia"/>
                <w:color w:val="000000"/>
                <w:sz w:val="20"/>
                <w:szCs w:val="20"/>
                <w:lang w:val="en-US" w:eastAsia="zh-CN"/>
              </w:rPr>
              <w:t>制作</w:t>
            </w:r>
            <w:r>
              <w:rPr>
                <w:rFonts w:hint="eastAsia"/>
                <w:color w:val="000000"/>
                <w:sz w:val="20"/>
                <w:szCs w:val="20"/>
              </w:rPr>
              <w:t>文书</w:t>
            </w:r>
            <w:r>
              <w:rPr>
                <w:rFonts w:hint="eastAsia"/>
                <w:color w:val="000000"/>
                <w:sz w:val="20"/>
                <w:szCs w:val="20"/>
                <w:lang w:eastAsia="zh-CN"/>
              </w:rPr>
              <w:t>，</w:t>
            </w:r>
            <w:r>
              <w:rPr>
                <w:rFonts w:hint="eastAsia"/>
                <w:color w:val="000000"/>
                <w:sz w:val="20"/>
                <w:szCs w:val="20"/>
                <w:lang w:val="en-US" w:eastAsia="zh-CN"/>
              </w:rPr>
              <w:t>报送市商务局</w:t>
            </w:r>
            <w:r>
              <w:rPr>
                <w:rFonts w:hint="eastAsia"/>
                <w:color w:val="000000"/>
                <w:sz w:val="20"/>
                <w:szCs w:val="20"/>
              </w:rPr>
              <w:t>；信息公开。</w:t>
            </w:r>
          </w:p>
        </w:tc>
        <w:tc>
          <w:tcPr>
            <w:tcW w:w="1161" w:type="dxa"/>
            <w:vAlign w:val="center"/>
          </w:tcPr>
          <w:p>
            <w:pPr>
              <w:spacing w:line="300" w:lineRule="exact"/>
              <w:jc w:val="center"/>
              <w:rPr>
                <w:rFonts w:hint="eastAsia" w:ascii="仿宋_GB2312" w:hAnsi="黑体" w:eastAsia="仿宋_GB2312" w:cs="宋体"/>
                <w:sz w:val="20"/>
                <w:szCs w:val="20"/>
              </w:rPr>
            </w:pPr>
            <w:r>
              <w:rPr>
                <w:rFonts w:hint="eastAsia" w:ascii="仿宋_GB2312" w:hAnsi="黑体" w:eastAsia="仿宋_GB2312" w:cs="宋体"/>
                <w:sz w:val="20"/>
                <w:szCs w:val="20"/>
              </w:rPr>
              <w:t>行政审批服务</w:t>
            </w:r>
            <w:r>
              <w:rPr>
                <w:rFonts w:hint="eastAsia" w:ascii="仿宋_GB2312" w:hAnsi="黑体" w:eastAsia="仿宋_GB2312" w:cs="宋体"/>
                <w:sz w:val="20"/>
                <w:szCs w:val="20"/>
                <w:lang w:val="en-US" w:eastAsia="zh-CN"/>
              </w:rPr>
              <w:t>股</w:t>
            </w:r>
          </w:p>
        </w:tc>
        <w:tc>
          <w:tcPr>
            <w:tcW w:w="849" w:type="dxa"/>
            <w:vAlign w:val="center"/>
          </w:tcPr>
          <w:p>
            <w:pPr>
              <w:spacing w:line="560" w:lineRule="exact"/>
              <w:jc w:val="center"/>
              <w:rPr>
                <w:rFonts w:hint="eastAsia" w:ascii="仿宋_GB2312" w:hAnsi="黑体" w:eastAsia="仿宋_GB2312" w:cs="宋体"/>
                <w:sz w:val="22"/>
                <w:lang w:eastAsia="zh-CN"/>
              </w:rPr>
            </w:pPr>
            <w:r>
              <w:rPr>
                <w:rFonts w:hint="eastAsia" w:ascii="仿宋_GB2312" w:hAnsi="黑体" w:eastAsia="仿宋_GB2312" w:cs="宋体"/>
                <w:sz w:val="22"/>
                <w:lang w:val="en-US" w:eastAsia="zh-CN"/>
              </w:rPr>
              <w:t>5</w:t>
            </w:r>
          </w:p>
        </w:tc>
        <w:tc>
          <w:tcPr>
            <w:tcW w:w="813" w:type="dxa"/>
            <w:vMerge w:val="continue"/>
            <w:vAlign w:val="center"/>
          </w:tcPr>
          <w:p>
            <w:pPr>
              <w:spacing w:line="560" w:lineRule="exact"/>
              <w:jc w:val="center"/>
              <w:rPr>
                <w:rFonts w:hint="eastAsia" w:ascii="仿宋_GB2312" w:hAnsi="黑体" w:eastAsia="仿宋_GB2312" w:cs="宋体"/>
                <w:sz w:val="22"/>
              </w:rPr>
            </w:pPr>
          </w:p>
        </w:tc>
        <w:tc>
          <w:tcPr>
            <w:tcW w:w="1450"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仿宋_GB2312" w:hAnsi="仿宋_GB2312" w:eastAsia="仿宋_GB2312"/>
                <w:spacing w:val="-20"/>
                <w:sz w:val="20"/>
                <w:szCs w:val="20"/>
              </w:rPr>
              <w:t>事后监管</w:t>
            </w:r>
          </w:p>
        </w:tc>
        <w:tc>
          <w:tcPr>
            <w:tcW w:w="3775" w:type="dxa"/>
            <w:vAlign w:val="center"/>
          </w:tcPr>
          <w:p>
            <w:pPr>
              <w:autoSpaceDE w:val="0"/>
              <w:autoSpaceDN w:val="0"/>
              <w:spacing w:line="240" w:lineRule="exact"/>
              <w:rPr>
                <w:rFonts w:hint="eastAsia" w:ascii="仿宋_GB2312" w:hAnsi="仿宋_GB2312" w:eastAsia="仿宋_GB2312"/>
                <w:spacing w:val="-20"/>
                <w:sz w:val="20"/>
                <w:szCs w:val="20"/>
              </w:rPr>
            </w:pPr>
            <w:r>
              <w:rPr>
                <w:rFonts w:hint="eastAsia"/>
                <w:color w:val="000000"/>
                <w:sz w:val="20"/>
                <w:szCs w:val="20"/>
              </w:rPr>
              <w:t>5.事后监管责任：开展定期和不定期检查。</w:t>
            </w:r>
          </w:p>
        </w:tc>
        <w:tc>
          <w:tcPr>
            <w:tcW w:w="1161" w:type="dxa"/>
            <w:vAlign w:val="center"/>
          </w:tcPr>
          <w:p>
            <w:pPr>
              <w:spacing w:line="300" w:lineRule="exact"/>
              <w:jc w:val="center"/>
              <w:rPr>
                <w:rFonts w:hint="eastAsia" w:ascii="仿宋_GB2312" w:hAnsi="黑体" w:eastAsia="仿宋_GB2312" w:cs="宋体"/>
                <w:sz w:val="20"/>
                <w:szCs w:val="20"/>
              </w:rPr>
            </w:pPr>
            <w:r>
              <w:rPr>
                <w:rFonts w:hint="eastAsia" w:ascii="仿宋_GB2312" w:hAnsi="黑体" w:eastAsia="仿宋_GB2312" w:cs="宋体"/>
                <w:sz w:val="20"/>
                <w:szCs w:val="20"/>
              </w:rPr>
              <w:t>对外投资和经济合作</w:t>
            </w:r>
            <w:r>
              <w:rPr>
                <w:rFonts w:hint="eastAsia" w:ascii="仿宋_GB2312" w:hAnsi="黑体" w:eastAsia="仿宋_GB2312" w:cs="宋体"/>
                <w:sz w:val="20"/>
                <w:szCs w:val="20"/>
                <w:lang w:val="en-US" w:eastAsia="zh-CN"/>
              </w:rPr>
              <w:t>股</w:t>
            </w:r>
          </w:p>
        </w:tc>
        <w:tc>
          <w:tcPr>
            <w:tcW w:w="849" w:type="dxa"/>
            <w:vAlign w:val="center"/>
          </w:tcPr>
          <w:p>
            <w:pPr>
              <w:spacing w:line="560" w:lineRule="exact"/>
              <w:jc w:val="center"/>
              <w:rPr>
                <w:rFonts w:hint="eastAsia" w:ascii="仿宋_GB2312" w:hAnsi="黑体" w:eastAsia="仿宋_GB2312" w:cs="宋体"/>
                <w:sz w:val="22"/>
              </w:rPr>
            </w:pPr>
          </w:p>
        </w:tc>
        <w:tc>
          <w:tcPr>
            <w:tcW w:w="813" w:type="dxa"/>
            <w:vMerge w:val="continue"/>
            <w:vAlign w:val="center"/>
          </w:tcPr>
          <w:p>
            <w:pPr>
              <w:spacing w:line="560" w:lineRule="exact"/>
              <w:jc w:val="center"/>
              <w:rPr>
                <w:rFonts w:hint="eastAsia" w:ascii="仿宋_GB2312" w:hAnsi="黑体" w:eastAsia="仿宋_GB2312" w:cs="宋体"/>
                <w:sz w:val="22"/>
              </w:rPr>
            </w:pPr>
          </w:p>
        </w:tc>
        <w:tc>
          <w:tcPr>
            <w:tcW w:w="1450"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p>
        </w:tc>
        <w:tc>
          <w:tcPr>
            <w:tcW w:w="3775" w:type="dxa"/>
            <w:vAlign w:val="center"/>
          </w:tcPr>
          <w:p>
            <w:pPr>
              <w:autoSpaceDE w:val="0"/>
              <w:autoSpaceDN w:val="0"/>
              <w:spacing w:line="240" w:lineRule="exact"/>
              <w:rPr>
                <w:rFonts w:hint="eastAsia" w:ascii="仿宋_GB2312" w:hAnsi="仿宋_GB2312" w:eastAsia="仿宋_GB2312"/>
                <w:spacing w:val="-20"/>
                <w:sz w:val="20"/>
                <w:szCs w:val="20"/>
              </w:rPr>
            </w:pPr>
            <w:r>
              <w:rPr>
                <w:rFonts w:hint="eastAsia"/>
                <w:color w:val="000000"/>
                <w:sz w:val="20"/>
                <w:szCs w:val="20"/>
              </w:rPr>
              <w:t>6.其他法律法规规章文件规定应履行的责任。</w:t>
            </w:r>
          </w:p>
        </w:tc>
        <w:tc>
          <w:tcPr>
            <w:tcW w:w="1161" w:type="dxa"/>
            <w:vAlign w:val="center"/>
          </w:tcPr>
          <w:p>
            <w:pPr>
              <w:spacing w:line="300" w:lineRule="exact"/>
              <w:jc w:val="center"/>
              <w:rPr>
                <w:rFonts w:hint="eastAsia" w:ascii="仿宋_GB2312" w:hAnsi="黑体" w:eastAsia="仿宋_GB2312" w:cs="宋体"/>
                <w:sz w:val="20"/>
                <w:szCs w:val="20"/>
              </w:rPr>
            </w:pPr>
            <w:r>
              <w:rPr>
                <w:rFonts w:hint="eastAsia" w:ascii="仿宋_GB2312" w:hAnsi="黑体" w:eastAsia="仿宋_GB2312" w:cs="宋体"/>
                <w:sz w:val="20"/>
                <w:szCs w:val="20"/>
              </w:rPr>
              <w:t>行政审批服务</w:t>
            </w:r>
            <w:r>
              <w:rPr>
                <w:rFonts w:hint="eastAsia" w:ascii="仿宋_GB2312" w:hAnsi="黑体" w:eastAsia="仿宋_GB2312" w:cs="宋体"/>
                <w:sz w:val="20"/>
                <w:szCs w:val="20"/>
                <w:lang w:val="en-US" w:eastAsia="zh-CN"/>
              </w:rPr>
              <w:t>股</w:t>
            </w:r>
          </w:p>
        </w:tc>
        <w:tc>
          <w:tcPr>
            <w:tcW w:w="849" w:type="dxa"/>
            <w:vAlign w:val="center"/>
          </w:tcPr>
          <w:p>
            <w:pPr>
              <w:spacing w:line="560" w:lineRule="exact"/>
              <w:jc w:val="center"/>
              <w:rPr>
                <w:rFonts w:hint="eastAsia" w:ascii="仿宋_GB2312" w:hAnsi="黑体" w:eastAsia="仿宋_GB2312" w:cs="宋体"/>
                <w:sz w:val="22"/>
              </w:rPr>
            </w:pPr>
          </w:p>
        </w:tc>
        <w:tc>
          <w:tcPr>
            <w:tcW w:w="813" w:type="dxa"/>
            <w:vMerge w:val="continue"/>
            <w:vAlign w:val="center"/>
          </w:tcPr>
          <w:p>
            <w:pPr>
              <w:spacing w:line="560" w:lineRule="exact"/>
              <w:jc w:val="center"/>
              <w:rPr>
                <w:rFonts w:hint="eastAsia" w:ascii="仿宋_GB2312" w:hAnsi="黑体" w:eastAsia="仿宋_GB2312" w:cs="宋体"/>
                <w:sz w:val="22"/>
              </w:rPr>
            </w:pPr>
          </w:p>
        </w:tc>
        <w:tc>
          <w:tcPr>
            <w:tcW w:w="1450"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12" w:hRule="atLeast"/>
          <w:jc w:val="center"/>
        </w:trPr>
        <w:tc>
          <w:tcPr>
            <w:tcW w:w="14174"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服务电话：</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投诉机构：</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商务举报投诉服务站</w:t>
            </w:r>
            <w:r>
              <w:rPr>
                <w:rFonts w:hint="eastAsia" w:ascii="仿宋_GB2312" w:hAnsi="黑体" w:eastAsia="仿宋_GB2312" w:cs="宋体"/>
                <w:sz w:val="22"/>
              </w:rPr>
              <w:t xml:space="preserve">      投诉电话：0394-</w:t>
            </w:r>
            <w:r>
              <w:rPr>
                <w:rFonts w:hint="eastAsia" w:ascii="仿宋_GB2312" w:hAnsi="黑体" w:eastAsia="仿宋_GB2312" w:cs="宋体"/>
                <w:sz w:val="22"/>
                <w:lang w:val="en-US" w:eastAsia="zh-CN"/>
              </w:rPr>
              <w:t>3229596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12" w:hRule="atLeast"/>
          <w:jc w:val="center"/>
        </w:trPr>
        <w:tc>
          <w:tcPr>
            <w:tcW w:w="14174"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受理地点：</w:t>
            </w:r>
            <w:r>
              <w:rPr>
                <w:rFonts w:hint="eastAsia" w:ascii="仿宋_GB2312" w:hAnsi="黑体" w:eastAsia="仿宋_GB2312" w:cs="宋体"/>
                <w:sz w:val="22"/>
                <w:lang w:val="en-US" w:eastAsia="zh-CN"/>
              </w:rPr>
              <w:t>郸城县世纪大道南段商务局二楼</w:t>
            </w:r>
          </w:p>
        </w:tc>
      </w:tr>
    </w:tbl>
    <w:p>
      <w:pPr>
        <w:ind w:firstLine="420" w:firstLineChars="200"/>
      </w:pPr>
    </w:p>
    <w:p>
      <w:pPr>
        <w:spacing w:line="560" w:lineRule="exact"/>
        <w:jc w:val="center"/>
        <w:rPr>
          <w:rFonts w:hint="eastAsia" w:ascii="黑体" w:eastAsia="黑体"/>
          <w:sz w:val="32"/>
          <w:szCs w:val="32"/>
          <w:lang w:val="zh-CN" w:eastAsia="zh-CN"/>
        </w:rPr>
      </w:pPr>
      <w:r>
        <w:br w:type="page"/>
      </w:r>
      <w:r>
        <w:rPr>
          <w:rFonts w:hint="eastAsia" w:ascii="黑体" w:eastAsia="黑体"/>
          <w:sz w:val="32"/>
          <w:szCs w:val="32"/>
          <w:lang w:val="en-US" w:eastAsia="zh-CN"/>
        </w:rPr>
        <w:t>郸城县</w:t>
      </w:r>
      <w:r>
        <w:rPr>
          <w:rFonts w:hint="eastAsia" w:ascii="黑体" w:eastAsia="黑体"/>
          <w:sz w:val="32"/>
          <w:szCs w:val="32"/>
          <w:lang w:val="zh-CN" w:eastAsia="zh-CN"/>
        </w:rPr>
        <w:t>商务局责任清单</w:t>
      </w:r>
    </w:p>
    <w:p>
      <w:pPr>
        <w:spacing w:line="560" w:lineRule="exact"/>
        <w:ind w:firstLine="440" w:firstLineChars="200"/>
        <w:rPr>
          <w:rFonts w:hint="eastAsia" w:ascii="仿宋_GB2312" w:hAnsi="黑体" w:eastAsia="仿宋_GB2312" w:cs="宋体"/>
          <w:sz w:val="22"/>
        </w:rPr>
      </w:pPr>
      <w:r>
        <w:rPr>
          <w:rFonts w:hint="eastAsia" w:ascii="仿宋_GB2312" w:hAnsi="黑体" w:eastAsia="仿宋_GB2312" w:cs="宋体"/>
          <w:sz w:val="22"/>
        </w:rPr>
        <w:t>职权类别：其他职权</w:t>
      </w:r>
    </w:p>
    <w:tbl>
      <w:tblPr>
        <w:tblStyle w:val="6"/>
        <w:tblW w:w="14174"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18"/>
        <w:gridCol w:w="1199"/>
        <w:gridCol w:w="3135"/>
        <w:gridCol w:w="1074"/>
        <w:gridCol w:w="3775"/>
        <w:gridCol w:w="1161"/>
        <w:gridCol w:w="849"/>
        <w:gridCol w:w="813"/>
        <w:gridCol w:w="145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8" w:hRule="atLeast"/>
          <w:jc w:val="center"/>
        </w:trPr>
        <w:tc>
          <w:tcPr>
            <w:tcW w:w="718"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序号</w:t>
            </w:r>
          </w:p>
        </w:tc>
        <w:tc>
          <w:tcPr>
            <w:tcW w:w="119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职权名称</w:t>
            </w:r>
          </w:p>
        </w:tc>
        <w:tc>
          <w:tcPr>
            <w:tcW w:w="313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实施依据</w:t>
            </w:r>
          </w:p>
        </w:tc>
        <w:tc>
          <w:tcPr>
            <w:tcW w:w="1074"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办理</w:t>
            </w:r>
          </w:p>
          <w:p>
            <w:pPr>
              <w:spacing w:line="360" w:lineRule="exact"/>
              <w:jc w:val="center"/>
              <w:rPr>
                <w:rFonts w:hint="eastAsia" w:ascii="黑体" w:hAnsi="黑体" w:eastAsia="黑体" w:cs="黑体"/>
                <w:sz w:val="22"/>
              </w:rPr>
            </w:pPr>
            <w:r>
              <w:rPr>
                <w:rFonts w:hint="eastAsia" w:ascii="黑体" w:hAnsi="黑体" w:eastAsia="黑体" w:cs="黑体"/>
                <w:sz w:val="22"/>
              </w:rPr>
              <w:t>环节</w:t>
            </w:r>
          </w:p>
        </w:tc>
        <w:tc>
          <w:tcPr>
            <w:tcW w:w="377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责任事项</w:t>
            </w:r>
          </w:p>
        </w:tc>
        <w:tc>
          <w:tcPr>
            <w:tcW w:w="1161"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w:t>
            </w:r>
            <w:r>
              <w:rPr>
                <w:rFonts w:hint="eastAsia" w:ascii="黑体" w:hAnsi="黑体" w:eastAsia="黑体" w:cs="黑体"/>
                <w:sz w:val="22"/>
                <w:lang w:val="en-US" w:eastAsia="zh-CN"/>
              </w:rPr>
              <w:t>股</w:t>
            </w:r>
            <w:r>
              <w:rPr>
                <w:rFonts w:hint="eastAsia" w:ascii="黑体" w:hAnsi="黑体" w:eastAsia="黑体" w:cs="黑体"/>
                <w:sz w:val="22"/>
              </w:rPr>
              <w:t>室</w:t>
            </w:r>
          </w:p>
        </w:tc>
        <w:tc>
          <w:tcPr>
            <w:tcW w:w="84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承诺时限</w:t>
            </w:r>
          </w:p>
        </w:tc>
        <w:tc>
          <w:tcPr>
            <w:tcW w:w="813"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法定时限</w:t>
            </w:r>
          </w:p>
        </w:tc>
        <w:tc>
          <w:tcPr>
            <w:tcW w:w="1450"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restart"/>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63</w:t>
            </w:r>
          </w:p>
        </w:tc>
        <w:tc>
          <w:tcPr>
            <w:tcW w:w="1199" w:type="dxa"/>
            <w:vMerge w:val="restart"/>
            <w:vAlign w:val="center"/>
          </w:tcPr>
          <w:p>
            <w:pPr>
              <w:rPr>
                <w:rFonts w:hint="eastAsia" w:ascii="仿宋_GB2312" w:hAnsi="黑体" w:eastAsia="仿宋_GB2312" w:cs="宋体"/>
                <w:spacing w:val="-20"/>
                <w:sz w:val="22"/>
              </w:rPr>
            </w:pPr>
            <w:r>
              <w:rPr>
                <w:rFonts w:hint="eastAsia"/>
                <w:sz w:val="22"/>
                <w:szCs w:val="22"/>
              </w:rPr>
              <w:t>拍卖企业设立</w:t>
            </w:r>
            <w:r>
              <w:rPr>
                <w:rFonts w:hint="eastAsia"/>
                <w:sz w:val="22"/>
                <w:szCs w:val="22"/>
                <w:lang w:val="en-US" w:eastAsia="zh-CN"/>
              </w:rPr>
              <w:t>上报</w:t>
            </w:r>
          </w:p>
        </w:tc>
        <w:tc>
          <w:tcPr>
            <w:tcW w:w="3135" w:type="dxa"/>
            <w:vMerge w:val="restart"/>
            <w:vAlign w:val="center"/>
          </w:tcPr>
          <w:p>
            <w:pPr>
              <w:spacing w:line="220" w:lineRule="exact"/>
              <w:rPr>
                <w:rFonts w:hint="eastAsia" w:ascii="仿宋_GB2312" w:hAnsi="黑体" w:eastAsia="仿宋_GB2312" w:cs="宋体"/>
                <w:spacing w:val="-20"/>
                <w:sz w:val="20"/>
                <w:szCs w:val="20"/>
              </w:rPr>
            </w:pPr>
            <w:r>
              <w:rPr>
                <w:rFonts w:hint="eastAsia"/>
                <w:sz w:val="20"/>
                <w:szCs w:val="20"/>
              </w:rPr>
              <w:t xml:space="preserve">    《中华人民共和国拍卖法》第十一条：“拍卖企业可以在设区的市设立。设立拍卖企业必须经所在地的省、自治区、省辖市人民政府负责管理拍卖业的部门审核许可，并向工商行政管理部门申请登记，领取营业执照。”                                                                                                                                                                                                                                                                                        </w:t>
            </w:r>
            <w:r>
              <w:rPr>
                <w:rFonts w:hint="eastAsia"/>
                <w:sz w:val="20"/>
                <w:szCs w:val="20"/>
              </w:rPr>
              <w:br w:type="textWrapping"/>
            </w:r>
            <w:r>
              <w:rPr>
                <w:rFonts w:hint="eastAsia"/>
                <w:sz w:val="20"/>
                <w:szCs w:val="20"/>
              </w:rPr>
              <w:t xml:space="preserve">    《拍卖管理办法》（商务部令2004年第24号）第十三条：“设立拍卖企业及分公司，按照下列程序办理：申请设立拍卖企业及分公司，应当先经企业或分公司所在地市级商务主管部门审查后，报省级商务主管部门核准并颁发拍卖经营批准证书。”</w:t>
            </w: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仿宋_GB2312" w:hAnsi="仿宋_GB2312" w:eastAsia="仿宋_GB2312"/>
                <w:spacing w:val="-20"/>
                <w:sz w:val="20"/>
                <w:szCs w:val="20"/>
              </w:rPr>
              <w:t>受理</w:t>
            </w:r>
          </w:p>
        </w:tc>
        <w:tc>
          <w:tcPr>
            <w:tcW w:w="3775" w:type="dxa"/>
            <w:vAlign w:val="center"/>
          </w:tcPr>
          <w:p>
            <w:pPr>
              <w:autoSpaceDE w:val="0"/>
              <w:autoSpaceDN w:val="0"/>
              <w:spacing w:line="240" w:lineRule="exact"/>
              <w:rPr>
                <w:rFonts w:hint="eastAsia" w:ascii="仿宋_GB2312" w:hAnsi="黑体" w:eastAsia="仿宋_GB2312" w:cs="宋体"/>
                <w:sz w:val="22"/>
              </w:rPr>
            </w:pPr>
            <w:r>
              <w:rPr>
                <w:rFonts w:hint="eastAsia"/>
                <w:color w:val="000000"/>
                <w:sz w:val="20"/>
                <w:szCs w:val="20"/>
              </w:rPr>
              <w:t>1.受理阶段责任：公示依法应当提交的材料；一次性告知补正材料；依法受理或不予受理（不予受理的告知理由）。</w:t>
            </w:r>
          </w:p>
        </w:tc>
        <w:tc>
          <w:tcPr>
            <w:tcW w:w="1161" w:type="dxa"/>
            <w:vAlign w:val="center"/>
          </w:tcPr>
          <w:p>
            <w:pPr>
              <w:spacing w:line="300" w:lineRule="exact"/>
              <w:jc w:val="center"/>
              <w:rPr>
                <w:rFonts w:hint="eastAsia" w:ascii="仿宋_GB2312" w:hAnsi="黑体" w:eastAsia="仿宋_GB2312" w:cs="宋体"/>
                <w:sz w:val="20"/>
                <w:szCs w:val="20"/>
              </w:rPr>
            </w:pPr>
            <w:r>
              <w:rPr>
                <w:rFonts w:hint="eastAsia" w:ascii="仿宋_GB2312" w:hAnsi="黑体" w:eastAsia="仿宋_GB2312" w:cs="宋体"/>
                <w:sz w:val="20"/>
                <w:szCs w:val="20"/>
              </w:rPr>
              <w:t>行政审批服务</w:t>
            </w:r>
            <w:r>
              <w:rPr>
                <w:rFonts w:hint="eastAsia" w:ascii="仿宋_GB2312" w:hAnsi="黑体" w:eastAsia="仿宋_GB2312" w:cs="宋体"/>
                <w:sz w:val="20"/>
                <w:szCs w:val="20"/>
                <w:lang w:val="en-US" w:eastAsia="zh-CN"/>
              </w:rPr>
              <w:t>股</w:t>
            </w:r>
          </w:p>
        </w:tc>
        <w:tc>
          <w:tcPr>
            <w:tcW w:w="849"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1</w:t>
            </w:r>
          </w:p>
        </w:tc>
        <w:tc>
          <w:tcPr>
            <w:tcW w:w="813" w:type="dxa"/>
            <w:vMerge w:val="restart"/>
            <w:vAlign w:val="center"/>
          </w:tcPr>
          <w:p>
            <w:pPr>
              <w:spacing w:line="560" w:lineRule="exact"/>
              <w:jc w:val="center"/>
              <w:rPr>
                <w:rFonts w:hint="eastAsia" w:ascii="仿宋_GB2312" w:hAnsi="黑体" w:eastAsia="仿宋_GB2312" w:cs="宋体"/>
                <w:sz w:val="22"/>
              </w:rPr>
            </w:pPr>
          </w:p>
        </w:tc>
        <w:tc>
          <w:tcPr>
            <w:tcW w:w="1450" w:type="dxa"/>
            <w:vMerge w:val="restart"/>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仿宋_GB2312" w:hAnsi="仿宋_GB2312" w:eastAsia="仿宋_GB2312"/>
                <w:spacing w:val="-20"/>
                <w:sz w:val="20"/>
                <w:szCs w:val="20"/>
              </w:rPr>
              <w:t>审查</w:t>
            </w:r>
          </w:p>
        </w:tc>
        <w:tc>
          <w:tcPr>
            <w:tcW w:w="3775" w:type="dxa"/>
            <w:vAlign w:val="center"/>
          </w:tcPr>
          <w:p>
            <w:pPr>
              <w:autoSpaceDE w:val="0"/>
              <w:autoSpaceDN w:val="0"/>
              <w:spacing w:line="240" w:lineRule="exact"/>
              <w:rPr>
                <w:rFonts w:hint="eastAsia" w:ascii="仿宋_GB2312" w:hAnsi="仿宋_GB2312" w:eastAsia="仿宋_GB2312"/>
                <w:spacing w:val="-20"/>
                <w:sz w:val="20"/>
                <w:szCs w:val="20"/>
              </w:rPr>
            </w:pPr>
            <w:r>
              <w:rPr>
                <w:rFonts w:hint="eastAsia"/>
                <w:color w:val="000000"/>
                <w:sz w:val="20"/>
                <w:szCs w:val="20"/>
              </w:rPr>
              <w:t>2.审查阶段责任：材料审核；提出初审意见。</w:t>
            </w:r>
          </w:p>
        </w:tc>
        <w:tc>
          <w:tcPr>
            <w:tcW w:w="1161" w:type="dxa"/>
            <w:vAlign w:val="center"/>
          </w:tcPr>
          <w:p>
            <w:pPr>
              <w:spacing w:line="240" w:lineRule="exact"/>
              <w:jc w:val="center"/>
              <w:rPr>
                <w:rFonts w:hint="eastAsia" w:ascii="仿宋_GB2312" w:hAnsi="黑体" w:eastAsia="仿宋_GB2312" w:cs="宋体"/>
                <w:sz w:val="20"/>
                <w:szCs w:val="20"/>
              </w:rPr>
            </w:pPr>
            <w:r>
              <w:rPr>
                <w:rFonts w:hint="eastAsia" w:ascii="宋体" w:hAnsi="宋体"/>
                <w:sz w:val="18"/>
                <w:szCs w:val="18"/>
              </w:rPr>
              <w:t>市场体系建设</w:t>
            </w:r>
            <w:r>
              <w:rPr>
                <w:rFonts w:hint="eastAsia" w:ascii="宋体" w:hAnsi="宋体"/>
                <w:sz w:val="18"/>
                <w:szCs w:val="18"/>
                <w:lang w:val="en-US" w:eastAsia="zh-CN"/>
              </w:rPr>
              <w:t>股</w:t>
            </w:r>
          </w:p>
        </w:tc>
        <w:tc>
          <w:tcPr>
            <w:tcW w:w="849" w:type="dxa"/>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7</w:t>
            </w:r>
          </w:p>
        </w:tc>
        <w:tc>
          <w:tcPr>
            <w:tcW w:w="813" w:type="dxa"/>
            <w:vMerge w:val="continue"/>
            <w:vAlign w:val="center"/>
          </w:tcPr>
          <w:p>
            <w:pPr>
              <w:spacing w:line="560" w:lineRule="exact"/>
              <w:jc w:val="center"/>
              <w:rPr>
                <w:rFonts w:hint="eastAsia" w:ascii="仿宋_GB2312" w:hAnsi="黑体" w:eastAsia="仿宋_GB2312" w:cs="宋体"/>
                <w:sz w:val="22"/>
              </w:rPr>
            </w:pPr>
          </w:p>
        </w:tc>
        <w:tc>
          <w:tcPr>
            <w:tcW w:w="1450"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仿宋_GB2312" w:hAnsi="仿宋_GB2312" w:eastAsia="仿宋_GB2312"/>
                <w:spacing w:val="-20"/>
                <w:sz w:val="20"/>
                <w:szCs w:val="20"/>
              </w:rPr>
              <w:t>决定</w:t>
            </w:r>
          </w:p>
        </w:tc>
        <w:tc>
          <w:tcPr>
            <w:tcW w:w="3775" w:type="dxa"/>
            <w:vAlign w:val="center"/>
          </w:tcPr>
          <w:p>
            <w:pPr>
              <w:autoSpaceDE w:val="0"/>
              <w:autoSpaceDN w:val="0"/>
              <w:spacing w:line="240" w:lineRule="exact"/>
              <w:rPr>
                <w:rFonts w:hint="eastAsia" w:ascii="仿宋_GB2312" w:hAnsi="仿宋_GB2312" w:eastAsia="仿宋_GB2312"/>
                <w:spacing w:val="-20"/>
                <w:sz w:val="20"/>
                <w:szCs w:val="20"/>
              </w:rPr>
            </w:pPr>
            <w:r>
              <w:rPr>
                <w:rFonts w:hint="eastAsia"/>
                <w:color w:val="000000"/>
                <w:sz w:val="20"/>
                <w:szCs w:val="20"/>
              </w:rPr>
              <w:t>3.决定阶段责任：</w:t>
            </w:r>
            <w:r>
              <w:rPr>
                <w:rFonts w:hint="eastAsia"/>
                <w:color w:val="000000"/>
                <w:sz w:val="20"/>
                <w:szCs w:val="20"/>
                <w:lang w:val="en-US" w:eastAsia="zh-CN"/>
              </w:rPr>
              <w:t>转报市商务局</w:t>
            </w:r>
            <w:r>
              <w:rPr>
                <w:rFonts w:hint="eastAsia"/>
                <w:color w:val="000000"/>
                <w:sz w:val="20"/>
                <w:szCs w:val="20"/>
              </w:rPr>
              <w:t>。</w:t>
            </w:r>
          </w:p>
        </w:tc>
        <w:tc>
          <w:tcPr>
            <w:tcW w:w="1161" w:type="dxa"/>
            <w:vAlign w:val="center"/>
          </w:tcPr>
          <w:p>
            <w:pPr>
              <w:spacing w:line="240" w:lineRule="exact"/>
              <w:jc w:val="center"/>
              <w:rPr>
                <w:rFonts w:hint="eastAsia" w:ascii="仿宋_GB2312" w:hAnsi="黑体" w:eastAsia="仿宋_GB2312" w:cs="宋体"/>
                <w:sz w:val="20"/>
                <w:szCs w:val="20"/>
              </w:rPr>
            </w:pPr>
            <w:r>
              <w:rPr>
                <w:rFonts w:hint="eastAsia" w:ascii="宋体" w:hAnsi="宋体"/>
                <w:sz w:val="18"/>
                <w:szCs w:val="18"/>
              </w:rPr>
              <w:t>市场体系建设</w:t>
            </w:r>
            <w:r>
              <w:rPr>
                <w:rFonts w:hint="eastAsia" w:ascii="宋体" w:hAnsi="宋体"/>
                <w:sz w:val="18"/>
                <w:szCs w:val="18"/>
                <w:lang w:val="en-US" w:eastAsia="zh-CN"/>
              </w:rPr>
              <w:t>股</w:t>
            </w:r>
          </w:p>
        </w:tc>
        <w:tc>
          <w:tcPr>
            <w:tcW w:w="849" w:type="dxa"/>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7</w:t>
            </w:r>
          </w:p>
        </w:tc>
        <w:tc>
          <w:tcPr>
            <w:tcW w:w="813" w:type="dxa"/>
            <w:vMerge w:val="continue"/>
            <w:vAlign w:val="center"/>
          </w:tcPr>
          <w:p>
            <w:pPr>
              <w:spacing w:line="560" w:lineRule="exact"/>
              <w:jc w:val="center"/>
              <w:rPr>
                <w:rFonts w:hint="eastAsia" w:ascii="仿宋_GB2312" w:hAnsi="黑体" w:eastAsia="仿宋_GB2312" w:cs="宋体"/>
                <w:sz w:val="22"/>
              </w:rPr>
            </w:pPr>
          </w:p>
        </w:tc>
        <w:tc>
          <w:tcPr>
            <w:tcW w:w="1450"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仿宋_GB2312" w:hAnsi="仿宋_GB2312" w:eastAsia="仿宋_GB2312"/>
                <w:spacing w:val="-20"/>
                <w:sz w:val="20"/>
                <w:szCs w:val="20"/>
              </w:rPr>
              <w:t>送达</w:t>
            </w:r>
          </w:p>
        </w:tc>
        <w:tc>
          <w:tcPr>
            <w:tcW w:w="3775" w:type="dxa"/>
            <w:vAlign w:val="center"/>
          </w:tcPr>
          <w:p>
            <w:pPr>
              <w:autoSpaceDE w:val="0"/>
              <w:autoSpaceDN w:val="0"/>
              <w:spacing w:line="240" w:lineRule="exact"/>
              <w:rPr>
                <w:rFonts w:hint="eastAsia" w:ascii="仿宋_GB2312" w:hAnsi="仿宋_GB2312" w:eastAsia="仿宋_GB2312"/>
                <w:spacing w:val="-20"/>
                <w:sz w:val="20"/>
                <w:szCs w:val="20"/>
              </w:rPr>
            </w:pPr>
            <w:r>
              <w:rPr>
                <w:rFonts w:hint="eastAsia"/>
                <w:color w:val="000000"/>
                <w:sz w:val="20"/>
                <w:szCs w:val="20"/>
              </w:rPr>
              <w:t>4.送达阶段责任：送达文书；信息公开。</w:t>
            </w:r>
          </w:p>
        </w:tc>
        <w:tc>
          <w:tcPr>
            <w:tcW w:w="1161" w:type="dxa"/>
            <w:vAlign w:val="center"/>
          </w:tcPr>
          <w:p>
            <w:pPr>
              <w:spacing w:line="300" w:lineRule="exact"/>
              <w:jc w:val="center"/>
              <w:rPr>
                <w:rFonts w:hint="eastAsia" w:ascii="仿宋_GB2312" w:hAnsi="黑体" w:eastAsia="仿宋_GB2312" w:cs="宋体"/>
                <w:sz w:val="20"/>
                <w:szCs w:val="20"/>
              </w:rPr>
            </w:pPr>
            <w:r>
              <w:rPr>
                <w:rFonts w:hint="eastAsia" w:ascii="仿宋_GB2312" w:hAnsi="黑体" w:eastAsia="仿宋_GB2312" w:cs="宋体"/>
                <w:sz w:val="20"/>
                <w:szCs w:val="20"/>
              </w:rPr>
              <w:t>行政审批服务</w:t>
            </w:r>
            <w:r>
              <w:rPr>
                <w:rFonts w:hint="eastAsia" w:ascii="仿宋_GB2312" w:hAnsi="黑体" w:eastAsia="仿宋_GB2312" w:cs="宋体"/>
                <w:sz w:val="20"/>
                <w:szCs w:val="20"/>
                <w:lang w:val="en-US" w:eastAsia="zh-CN"/>
              </w:rPr>
              <w:t>股</w:t>
            </w:r>
          </w:p>
        </w:tc>
        <w:tc>
          <w:tcPr>
            <w:tcW w:w="849" w:type="dxa"/>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3</w:t>
            </w:r>
          </w:p>
        </w:tc>
        <w:tc>
          <w:tcPr>
            <w:tcW w:w="813" w:type="dxa"/>
            <w:vMerge w:val="continue"/>
            <w:vAlign w:val="center"/>
          </w:tcPr>
          <w:p>
            <w:pPr>
              <w:spacing w:line="560" w:lineRule="exact"/>
              <w:jc w:val="center"/>
              <w:rPr>
                <w:rFonts w:hint="eastAsia" w:ascii="仿宋_GB2312" w:hAnsi="黑体" w:eastAsia="仿宋_GB2312" w:cs="宋体"/>
                <w:sz w:val="22"/>
              </w:rPr>
            </w:pPr>
          </w:p>
        </w:tc>
        <w:tc>
          <w:tcPr>
            <w:tcW w:w="1450"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仿宋_GB2312" w:hAnsi="仿宋_GB2312" w:eastAsia="仿宋_GB2312"/>
                <w:spacing w:val="-20"/>
                <w:sz w:val="20"/>
                <w:szCs w:val="20"/>
              </w:rPr>
              <w:t>事后监管</w:t>
            </w:r>
          </w:p>
        </w:tc>
        <w:tc>
          <w:tcPr>
            <w:tcW w:w="3775" w:type="dxa"/>
            <w:vAlign w:val="center"/>
          </w:tcPr>
          <w:p>
            <w:pPr>
              <w:autoSpaceDE w:val="0"/>
              <w:autoSpaceDN w:val="0"/>
              <w:spacing w:line="240" w:lineRule="exact"/>
              <w:rPr>
                <w:rFonts w:hint="eastAsia" w:ascii="仿宋_GB2312" w:hAnsi="仿宋_GB2312" w:eastAsia="仿宋_GB2312"/>
                <w:spacing w:val="-20"/>
                <w:sz w:val="20"/>
                <w:szCs w:val="20"/>
              </w:rPr>
            </w:pPr>
            <w:r>
              <w:rPr>
                <w:rFonts w:hint="eastAsia"/>
                <w:color w:val="000000"/>
                <w:sz w:val="20"/>
                <w:szCs w:val="20"/>
              </w:rPr>
              <w:t>5.事后监管责任：开展定期和不定期检查。</w:t>
            </w:r>
          </w:p>
        </w:tc>
        <w:tc>
          <w:tcPr>
            <w:tcW w:w="1161" w:type="dxa"/>
            <w:vAlign w:val="center"/>
          </w:tcPr>
          <w:p>
            <w:pPr>
              <w:spacing w:line="240" w:lineRule="exact"/>
              <w:jc w:val="center"/>
              <w:rPr>
                <w:rFonts w:hint="eastAsia" w:ascii="仿宋_GB2312" w:hAnsi="黑体" w:eastAsia="仿宋_GB2312" w:cs="宋体"/>
                <w:sz w:val="20"/>
                <w:szCs w:val="20"/>
              </w:rPr>
            </w:pPr>
            <w:r>
              <w:rPr>
                <w:rFonts w:hint="eastAsia" w:ascii="宋体" w:hAnsi="宋体"/>
                <w:sz w:val="18"/>
                <w:szCs w:val="18"/>
              </w:rPr>
              <w:t>市场体系建设</w:t>
            </w:r>
            <w:r>
              <w:rPr>
                <w:rFonts w:hint="eastAsia" w:ascii="宋体" w:hAnsi="宋体"/>
                <w:sz w:val="18"/>
                <w:szCs w:val="18"/>
                <w:lang w:val="en-US" w:eastAsia="zh-CN"/>
              </w:rPr>
              <w:t>股</w:t>
            </w:r>
          </w:p>
        </w:tc>
        <w:tc>
          <w:tcPr>
            <w:tcW w:w="849" w:type="dxa"/>
            <w:vAlign w:val="center"/>
          </w:tcPr>
          <w:p>
            <w:pPr>
              <w:spacing w:line="560" w:lineRule="exact"/>
              <w:jc w:val="center"/>
              <w:rPr>
                <w:rFonts w:hint="eastAsia" w:ascii="仿宋_GB2312" w:hAnsi="黑体" w:eastAsia="仿宋_GB2312" w:cs="宋体"/>
                <w:sz w:val="22"/>
              </w:rPr>
            </w:pPr>
          </w:p>
        </w:tc>
        <w:tc>
          <w:tcPr>
            <w:tcW w:w="813" w:type="dxa"/>
            <w:vMerge w:val="continue"/>
            <w:vAlign w:val="center"/>
          </w:tcPr>
          <w:p>
            <w:pPr>
              <w:spacing w:line="560" w:lineRule="exact"/>
              <w:jc w:val="center"/>
              <w:rPr>
                <w:rFonts w:hint="eastAsia" w:ascii="仿宋_GB2312" w:hAnsi="黑体" w:eastAsia="仿宋_GB2312" w:cs="宋体"/>
                <w:sz w:val="22"/>
              </w:rPr>
            </w:pPr>
          </w:p>
        </w:tc>
        <w:tc>
          <w:tcPr>
            <w:tcW w:w="1450"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p>
        </w:tc>
        <w:tc>
          <w:tcPr>
            <w:tcW w:w="3775" w:type="dxa"/>
            <w:vAlign w:val="center"/>
          </w:tcPr>
          <w:p>
            <w:pPr>
              <w:autoSpaceDE w:val="0"/>
              <w:autoSpaceDN w:val="0"/>
              <w:spacing w:line="240" w:lineRule="exact"/>
              <w:rPr>
                <w:rFonts w:hint="eastAsia" w:ascii="仿宋_GB2312" w:hAnsi="仿宋_GB2312" w:eastAsia="仿宋_GB2312"/>
                <w:spacing w:val="-20"/>
                <w:sz w:val="20"/>
                <w:szCs w:val="20"/>
              </w:rPr>
            </w:pPr>
            <w:r>
              <w:rPr>
                <w:rFonts w:hint="eastAsia"/>
                <w:color w:val="000000"/>
                <w:sz w:val="20"/>
                <w:szCs w:val="20"/>
              </w:rPr>
              <w:t>6.其他法律法规规章文件规定应履行的责任。</w:t>
            </w:r>
          </w:p>
        </w:tc>
        <w:tc>
          <w:tcPr>
            <w:tcW w:w="1161" w:type="dxa"/>
            <w:vAlign w:val="center"/>
          </w:tcPr>
          <w:p>
            <w:pPr>
              <w:spacing w:line="240" w:lineRule="exact"/>
              <w:jc w:val="center"/>
              <w:rPr>
                <w:rFonts w:hint="eastAsia" w:ascii="仿宋_GB2312" w:hAnsi="黑体" w:eastAsia="仿宋_GB2312" w:cs="宋体"/>
                <w:sz w:val="20"/>
                <w:szCs w:val="20"/>
              </w:rPr>
            </w:pPr>
            <w:r>
              <w:rPr>
                <w:rFonts w:hint="eastAsia" w:ascii="宋体" w:hAnsi="宋体"/>
                <w:sz w:val="18"/>
                <w:szCs w:val="18"/>
              </w:rPr>
              <w:t>市场体系建设</w:t>
            </w:r>
            <w:r>
              <w:rPr>
                <w:rFonts w:hint="eastAsia" w:ascii="宋体" w:hAnsi="宋体"/>
                <w:sz w:val="18"/>
                <w:szCs w:val="18"/>
                <w:lang w:val="en-US" w:eastAsia="zh-CN"/>
              </w:rPr>
              <w:t>股</w:t>
            </w:r>
          </w:p>
        </w:tc>
        <w:tc>
          <w:tcPr>
            <w:tcW w:w="849" w:type="dxa"/>
            <w:vAlign w:val="center"/>
          </w:tcPr>
          <w:p>
            <w:pPr>
              <w:spacing w:line="560" w:lineRule="exact"/>
              <w:jc w:val="center"/>
              <w:rPr>
                <w:rFonts w:hint="eastAsia" w:ascii="仿宋_GB2312" w:hAnsi="黑体" w:eastAsia="仿宋_GB2312" w:cs="宋体"/>
                <w:sz w:val="22"/>
              </w:rPr>
            </w:pPr>
          </w:p>
        </w:tc>
        <w:tc>
          <w:tcPr>
            <w:tcW w:w="813" w:type="dxa"/>
            <w:vMerge w:val="continue"/>
            <w:vAlign w:val="center"/>
          </w:tcPr>
          <w:p>
            <w:pPr>
              <w:spacing w:line="560" w:lineRule="exact"/>
              <w:jc w:val="center"/>
              <w:rPr>
                <w:rFonts w:hint="eastAsia" w:ascii="仿宋_GB2312" w:hAnsi="黑体" w:eastAsia="仿宋_GB2312" w:cs="宋体"/>
                <w:sz w:val="22"/>
              </w:rPr>
            </w:pPr>
          </w:p>
        </w:tc>
        <w:tc>
          <w:tcPr>
            <w:tcW w:w="1450"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12" w:hRule="atLeast"/>
          <w:jc w:val="center"/>
        </w:trPr>
        <w:tc>
          <w:tcPr>
            <w:tcW w:w="14174"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服务电话：</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投诉机构：</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商务举报投诉服务站</w:t>
            </w:r>
            <w:r>
              <w:rPr>
                <w:rFonts w:hint="eastAsia" w:ascii="仿宋_GB2312" w:hAnsi="黑体" w:eastAsia="仿宋_GB2312" w:cs="宋体"/>
                <w:sz w:val="22"/>
              </w:rPr>
              <w:t xml:space="preserve">      投诉电话：0394-</w:t>
            </w:r>
            <w:r>
              <w:rPr>
                <w:rFonts w:hint="eastAsia" w:ascii="仿宋_GB2312" w:hAnsi="黑体" w:eastAsia="仿宋_GB2312" w:cs="宋体"/>
                <w:sz w:val="22"/>
                <w:lang w:val="en-US" w:eastAsia="zh-CN"/>
              </w:rPr>
              <w:t>3229596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12" w:hRule="atLeast"/>
          <w:jc w:val="center"/>
        </w:trPr>
        <w:tc>
          <w:tcPr>
            <w:tcW w:w="14174"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受理地点：</w:t>
            </w:r>
            <w:r>
              <w:rPr>
                <w:rFonts w:hint="eastAsia" w:ascii="仿宋_GB2312" w:hAnsi="黑体" w:eastAsia="仿宋_GB2312" w:cs="宋体"/>
                <w:sz w:val="22"/>
                <w:lang w:val="en-US" w:eastAsia="zh-CN"/>
              </w:rPr>
              <w:t>郸城县世纪大道南段商务局二楼</w:t>
            </w:r>
          </w:p>
        </w:tc>
      </w:tr>
    </w:tbl>
    <w:p>
      <w:pPr>
        <w:ind w:firstLine="420" w:firstLineChars="200"/>
      </w:pPr>
    </w:p>
    <w:p>
      <w:pPr>
        <w:spacing w:line="560" w:lineRule="exact"/>
        <w:jc w:val="center"/>
        <w:rPr>
          <w:rFonts w:hint="eastAsia" w:ascii="黑体" w:eastAsia="黑体"/>
          <w:sz w:val="32"/>
          <w:szCs w:val="32"/>
          <w:lang w:val="zh-CN" w:eastAsia="zh-CN"/>
        </w:rPr>
      </w:pPr>
      <w:r>
        <w:br w:type="page"/>
      </w:r>
      <w:r>
        <w:rPr>
          <w:rFonts w:hint="eastAsia" w:ascii="黑体" w:eastAsia="黑体"/>
          <w:sz w:val="32"/>
          <w:szCs w:val="32"/>
          <w:lang w:val="en-US" w:eastAsia="zh-CN"/>
        </w:rPr>
        <w:t>郸城县</w:t>
      </w:r>
      <w:r>
        <w:rPr>
          <w:rFonts w:hint="eastAsia" w:ascii="黑体" w:eastAsia="黑体"/>
          <w:sz w:val="32"/>
          <w:szCs w:val="32"/>
          <w:lang w:val="zh-CN" w:eastAsia="zh-CN"/>
        </w:rPr>
        <w:t>商务局责任清单</w:t>
      </w:r>
    </w:p>
    <w:p>
      <w:pPr>
        <w:spacing w:line="560" w:lineRule="exact"/>
        <w:ind w:firstLine="440" w:firstLineChars="200"/>
        <w:rPr>
          <w:rFonts w:hint="eastAsia" w:ascii="仿宋_GB2312" w:hAnsi="黑体" w:eastAsia="仿宋_GB2312" w:cs="宋体"/>
          <w:sz w:val="22"/>
        </w:rPr>
      </w:pPr>
      <w:r>
        <w:rPr>
          <w:rFonts w:hint="eastAsia" w:ascii="仿宋_GB2312" w:hAnsi="黑体" w:eastAsia="仿宋_GB2312" w:cs="宋体"/>
          <w:sz w:val="22"/>
        </w:rPr>
        <w:t>职权类别：其他职权</w:t>
      </w:r>
    </w:p>
    <w:tbl>
      <w:tblPr>
        <w:tblStyle w:val="6"/>
        <w:tblW w:w="14174"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18"/>
        <w:gridCol w:w="1199"/>
        <w:gridCol w:w="3135"/>
        <w:gridCol w:w="1074"/>
        <w:gridCol w:w="3775"/>
        <w:gridCol w:w="1161"/>
        <w:gridCol w:w="849"/>
        <w:gridCol w:w="813"/>
        <w:gridCol w:w="145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8" w:hRule="atLeast"/>
          <w:jc w:val="center"/>
        </w:trPr>
        <w:tc>
          <w:tcPr>
            <w:tcW w:w="718"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序号</w:t>
            </w:r>
          </w:p>
        </w:tc>
        <w:tc>
          <w:tcPr>
            <w:tcW w:w="119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职权名称</w:t>
            </w:r>
          </w:p>
        </w:tc>
        <w:tc>
          <w:tcPr>
            <w:tcW w:w="313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实施依据</w:t>
            </w:r>
          </w:p>
        </w:tc>
        <w:tc>
          <w:tcPr>
            <w:tcW w:w="1074"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办理</w:t>
            </w:r>
          </w:p>
          <w:p>
            <w:pPr>
              <w:spacing w:line="360" w:lineRule="exact"/>
              <w:jc w:val="center"/>
              <w:rPr>
                <w:rFonts w:hint="eastAsia" w:ascii="黑体" w:hAnsi="黑体" w:eastAsia="黑体" w:cs="黑体"/>
                <w:sz w:val="22"/>
              </w:rPr>
            </w:pPr>
            <w:r>
              <w:rPr>
                <w:rFonts w:hint="eastAsia" w:ascii="黑体" w:hAnsi="黑体" w:eastAsia="黑体" w:cs="黑体"/>
                <w:sz w:val="22"/>
              </w:rPr>
              <w:t>环节</w:t>
            </w:r>
          </w:p>
        </w:tc>
        <w:tc>
          <w:tcPr>
            <w:tcW w:w="377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责任事项</w:t>
            </w:r>
          </w:p>
        </w:tc>
        <w:tc>
          <w:tcPr>
            <w:tcW w:w="1161"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w:t>
            </w:r>
            <w:r>
              <w:rPr>
                <w:rFonts w:hint="eastAsia" w:ascii="黑体" w:hAnsi="黑体" w:eastAsia="黑体" w:cs="黑体"/>
                <w:sz w:val="22"/>
                <w:lang w:val="en-US" w:eastAsia="zh-CN"/>
              </w:rPr>
              <w:t>股</w:t>
            </w:r>
            <w:r>
              <w:rPr>
                <w:rFonts w:hint="eastAsia" w:ascii="黑体" w:hAnsi="黑体" w:eastAsia="黑体" w:cs="黑体"/>
                <w:sz w:val="22"/>
              </w:rPr>
              <w:t>室</w:t>
            </w:r>
          </w:p>
        </w:tc>
        <w:tc>
          <w:tcPr>
            <w:tcW w:w="84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承诺时限</w:t>
            </w:r>
          </w:p>
        </w:tc>
        <w:tc>
          <w:tcPr>
            <w:tcW w:w="813"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法定时限</w:t>
            </w:r>
          </w:p>
        </w:tc>
        <w:tc>
          <w:tcPr>
            <w:tcW w:w="1450"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restart"/>
            <w:vAlign w:val="center"/>
          </w:tcPr>
          <w:p>
            <w:pPr>
              <w:spacing w:line="560" w:lineRule="exact"/>
              <w:jc w:val="center"/>
              <w:rPr>
                <w:rFonts w:hint="eastAsia" w:ascii="仿宋_GB2312" w:hAnsi="黑体" w:eastAsia="仿宋_GB2312" w:cs="宋体"/>
                <w:sz w:val="22"/>
                <w:lang w:eastAsia="zh-CN"/>
              </w:rPr>
            </w:pPr>
            <w:r>
              <w:rPr>
                <w:rFonts w:hint="eastAsia" w:ascii="仿宋_GB2312" w:hAnsi="黑体" w:eastAsia="仿宋_GB2312" w:cs="宋体"/>
                <w:sz w:val="22"/>
                <w:lang w:val="en-US" w:eastAsia="zh-CN"/>
              </w:rPr>
              <w:t>64</w:t>
            </w:r>
          </w:p>
        </w:tc>
        <w:tc>
          <w:tcPr>
            <w:tcW w:w="1199" w:type="dxa"/>
            <w:vMerge w:val="restart"/>
            <w:vAlign w:val="center"/>
          </w:tcPr>
          <w:p>
            <w:pPr>
              <w:jc w:val="center"/>
              <w:rPr>
                <w:rFonts w:hint="eastAsia" w:ascii="仿宋_GB2312" w:hAnsi="黑体" w:eastAsia="仿宋_GB2312" w:cs="宋体"/>
                <w:spacing w:val="-20"/>
                <w:sz w:val="22"/>
              </w:rPr>
            </w:pPr>
            <w:r>
              <w:rPr>
                <w:rFonts w:hint="eastAsia"/>
                <w:sz w:val="22"/>
                <w:szCs w:val="22"/>
              </w:rPr>
              <w:t>设立典当行及分支机构报审</w:t>
            </w:r>
          </w:p>
        </w:tc>
        <w:tc>
          <w:tcPr>
            <w:tcW w:w="3135" w:type="dxa"/>
            <w:vMerge w:val="restart"/>
            <w:vAlign w:val="center"/>
          </w:tcPr>
          <w:p>
            <w:pPr>
              <w:rPr>
                <w:rFonts w:hint="eastAsia" w:ascii="仿宋_GB2312" w:hAnsi="黑体" w:eastAsia="仿宋_GB2312" w:cs="宋体"/>
                <w:spacing w:val="-20"/>
                <w:sz w:val="22"/>
              </w:rPr>
            </w:pPr>
            <w:r>
              <w:rPr>
                <w:rFonts w:hint="eastAsia"/>
                <w:sz w:val="22"/>
                <w:szCs w:val="22"/>
              </w:rPr>
              <w:t>《典当管理办法》（商务部、公安部令2005年第8号）第二章第十五条：“收到设立典当行或者典当行申请设立分支机构的申请后，设区的市（地）级商务主管部门应当报省级商务主管部门审核，省级商务主管部门将审核意见和申请材料报送商务部，由商务部批准并颁发《典当经营许可证》。”</w:t>
            </w: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仿宋_GB2312" w:hAnsi="仿宋_GB2312" w:eastAsia="仿宋_GB2312"/>
                <w:spacing w:val="-20"/>
                <w:sz w:val="20"/>
                <w:szCs w:val="20"/>
              </w:rPr>
              <w:t>受理</w:t>
            </w:r>
          </w:p>
        </w:tc>
        <w:tc>
          <w:tcPr>
            <w:tcW w:w="3775" w:type="dxa"/>
            <w:vAlign w:val="center"/>
          </w:tcPr>
          <w:p>
            <w:pPr>
              <w:autoSpaceDE w:val="0"/>
              <w:autoSpaceDN w:val="0"/>
              <w:spacing w:line="240" w:lineRule="exact"/>
              <w:rPr>
                <w:rFonts w:hint="eastAsia" w:ascii="仿宋_GB2312" w:hAnsi="黑体" w:eastAsia="仿宋_GB2312" w:cs="宋体"/>
                <w:sz w:val="22"/>
              </w:rPr>
            </w:pPr>
            <w:r>
              <w:rPr>
                <w:rFonts w:hint="eastAsia"/>
                <w:color w:val="000000"/>
                <w:sz w:val="20"/>
                <w:szCs w:val="20"/>
              </w:rPr>
              <w:t>1.受理阶段责任：公示依法应当提交的材料；一次性告知补正材料；依法受理或不予受理（不予受理的告知理由）。</w:t>
            </w:r>
          </w:p>
        </w:tc>
        <w:tc>
          <w:tcPr>
            <w:tcW w:w="1161" w:type="dxa"/>
            <w:vAlign w:val="center"/>
          </w:tcPr>
          <w:p>
            <w:pPr>
              <w:spacing w:line="300" w:lineRule="exact"/>
              <w:jc w:val="center"/>
              <w:rPr>
                <w:rFonts w:hint="eastAsia" w:ascii="仿宋_GB2312" w:hAnsi="黑体" w:eastAsia="仿宋_GB2312" w:cs="宋体"/>
                <w:sz w:val="20"/>
                <w:szCs w:val="20"/>
              </w:rPr>
            </w:pPr>
            <w:r>
              <w:rPr>
                <w:rFonts w:hint="eastAsia" w:ascii="仿宋_GB2312" w:hAnsi="黑体" w:eastAsia="仿宋_GB2312" w:cs="宋体"/>
                <w:sz w:val="20"/>
                <w:szCs w:val="20"/>
              </w:rPr>
              <w:t>行政审批服务</w:t>
            </w:r>
            <w:r>
              <w:rPr>
                <w:rFonts w:hint="eastAsia" w:ascii="仿宋_GB2312" w:hAnsi="黑体" w:eastAsia="仿宋_GB2312" w:cs="宋体"/>
                <w:sz w:val="20"/>
                <w:szCs w:val="20"/>
                <w:lang w:val="en-US" w:eastAsia="zh-CN"/>
              </w:rPr>
              <w:t>股</w:t>
            </w:r>
          </w:p>
        </w:tc>
        <w:tc>
          <w:tcPr>
            <w:tcW w:w="849"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1</w:t>
            </w:r>
          </w:p>
        </w:tc>
        <w:tc>
          <w:tcPr>
            <w:tcW w:w="813" w:type="dxa"/>
            <w:vMerge w:val="restart"/>
            <w:vAlign w:val="center"/>
          </w:tcPr>
          <w:p>
            <w:pPr>
              <w:spacing w:line="560" w:lineRule="exact"/>
              <w:jc w:val="center"/>
              <w:rPr>
                <w:rFonts w:hint="eastAsia" w:ascii="仿宋_GB2312" w:hAnsi="黑体" w:eastAsia="仿宋_GB2312" w:cs="宋体"/>
                <w:sz w:val="22"/>
              </w:rPr>
            </w:pPr>
          </w:p>
        </w:tc>
        <w:tc>
          <w:tcPr>
            <w:tcW w:w="1450" w:type="dxa"/>
            <w:vMerge w:val="restart"/>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仿宋_GB2312" w:hAnsi="仿宋_GB2312" w:eastAsia="仿宋_GB2312"/>
                <w:spacing w:val="-20"/>
                <w:sz w:val="20"/>
                <w:szCs w:val="20"/>
              </w:rPr>
              <w:t>审查</w:t>
            </w:r>
          </w:p>
        </w:tc>
        <w:tc>
          <w:tcPr>
            <w:tcW w:w="3775" w:type="dxa"/>
            <w:vAlign w:val="center"/>
          </w:tcPr>
          <w:p>
            <w:pPr>
              <w:autoSpaceDE w:val="0"/>
              <w:autoSpaceDN w:val="0"/>
              <w:spacing w:line="240" w:lineRule="exact"/>
              <w:rPr>
                <w:rFonts w:hint="eastAsia" w:ascii="仿宋_GB2312" w:hAnsi="仿宋_GB2312" w:eastAsia="仿宋_GB2312"/>
                <w:spacing w:val="-20"/>
                <w:sz w:val="20"/>
                <w:szCs w:val="20"/>
              </w:rPr>
            </w:pPr>
            <w:r>
              <w:rPr>
                <w:rFonts w:hint="eastAsia"/>
                <w:color w:val="000000"/>
                <w:sz w:val="20"/>
                <w:szCs w:val="20"/>
              </w:rPr>
              <w:t>2.审查阶段责任：材料审核；提出初审意见。</w:t>
            </w:r>
          </w:p>
        </w:tc>
        <w:tc>
          <w:tcPr>
            <w:tcW w:w="1161" w:type="dxa"/>
            <w:vAlign w:val="center"/>
          </w:tcPr>
          <w:p>
            <w:pPr>
              <w:spacing w:line="240" w:lineRule="exact"/>
              <w:jc w:val="center"/>
              <w:rPr>
                <w:rFonts w:hint="eastAsia" w:ascii="仿宋_GB2312" w:hAnsi="黑体" w:eastAsia="仿宋_GB2312" w:cs="宋体"/>
                <w:sz w:val="20"/>
                <w:szCs w:val="20"/>
              </w:rPr>
            </w:pPr>
            <w:r>
              <w:rPr>
                <w:rFonts w:hint="eastAsia" w:ascii="宋体" w:hAnsi="宋体"/>
                <w:sz w:val="18"/>
                <w:szCs w:val="18"/>
              </w:rPr>
              <w:t>市场体系建设</w:t>
            </w:r>
            <w:r>
              <w:rPr>
                <w:rFonts w:hint="eastAsia" w:ascii="宋体" w:hAnsi="宋体"/>
                <w:sz w:val="18"/>
                <w:szCs w:val="18"/>
                <w:lang w:val="en-US" w:eastAsia="zh-CN"/>
              </w:rPr>
              <w:t>股</w:t>
            </w:r>
          </w:p>
        </w:tc>
        <w:tc>
          <w:tcPr>
            <w:tcW w:w="849" w:type="dxa"/>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7</w:t>
            </w:r>
          </w:p>
        </w:tc>
        <w:tc>
          <w:tcPr>
            <w:tcW w:w="813" w:type="dxa"/>
            <w:vMerge w:val="continue"/>
            <w:vAlign w:val="center"/>
          </w:tcPr>
          <w:p>
            <w:pPr>
              <w:spacing w:line="560" w:lineRule="exact"/>
              <w:jc w:val="center"/>
              <w:rPr>
                <w:rFonts w:hint="eastAsia" w:ascii="仿宋_GB2312" w:hAnsi="黑体" w:eastAsia="仿宋_GB2312" w:cs="宋体"/>
                <w:sz w:val="22"/>
              </w:rPr>
            </w:pPr>
          </w:p>
        </w:tc>
        <w:tc>
          <w:tcPr>
            <w:tcW w:w="1450"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仿宋_GB2312" w:hAnsi="仿宋_GB2312" w:eastAsia="仿宋_GB2312"/>
                <w:spacing w:val="-20"/>
                <w:sz w:val="20"/>
                <w:szCs w:val="20"/>
              </w:rPr>
              <w:t>决定</w:t>
            </w:r>
          </w:p>
        </w:tc>
        <w:tc>
          <w:tcPr>
            <w:tcW w:w="3775" w:type="dxa"/>
            <w:vAlign w:val="center"/>
          </w:tcPr>
          <w:p>
            <w:pPr>
              <w:autoSpaceDE w:val="0"/>
              <w:autoSpaceDN w:val="0"/>
              <w:spacing w:line="240" w:lineRule="exact"/>
              <w:rPr>
                <w:rFonts w:hint="eastAsia" w:ascii="仿宋_GB2312" w:hAnsi="仿宋_GB2312" w:eastAsia="仿宋_GB2312"/>
                <w:spacing w:val="-20"/>
                <w:sz w:val="20"/>
                <w:szCs w:val="20"/>
              </w:rPr>
            </w:pPr>
            <w:r>
              <w:rPr>
                <w:rFonts w:hint="eastAsia"/>
                <w:color w:val="000000"/>
                <w:sz w:val="20"/>
                <w:szCs w:val="20"/>
              </w:rPr>
              <w:t>3.决定阶段责任：</w:t>
            </w:r>
            <w:r>
              <w:rPr>
                <w:rFonts w:hint="eastAsia"/>
                <w:color w:val="000000"/>
                <w:sz w:val="20"/>
                <w:szCs w:val="20"/>
                <w:lang w:val="en-US" w:eastAsia="zh-CN"/>
              </w:rPr>
              <w:t>转报市商务局</w:t>
            </w:r>
            <w:r>
              <w:rPr>
                <w:rFonts w:hint="eastAsia"/>
                <w:color w:val="000000"/>
                <w:sz w:val="20"/>
                <w:szCs w:val="20"/>
              </w:rPr>
              <w:t>。</w:t>
            </w:r>
          </w:p>
        </w:tc>
        <w:tc>
          <w:tcPr>
            <w:tcW w:w="1161" w:type="dxa"/>
            <w:vAlign w:val="center"/>
          </w:tcPr>
          <w:p>
            <w:pPr>
              <w:spacing w:line="240" w:lineRule="exact"/>
              <w:jc w:val="center"/>
              <w:rPr>
                <w:rFonts w:hint="eastAsia" w:ascii="仿宋_GB2312" w:hAnsi="黑体" w:eastAsia="仿宋_GB2312" w:cs="宋体"/>
                <w:sz w:val="20"/>
                <w:szCs w:val="20"/>
              </w:rPr>
            </w:pPr>
            <w:r>
              <w:rPr>
                <w:rFonts w:hint="eastAsia" w:ascii="宋体" w:hAnsi="宋体"/>
                <w:sz w:val="18"/>
                <w:szCs w:val="18"/>
              </w:rPr>
              <w:t>市场体系建设</w:t>
            </w:r>
            <w:r>
              <w:rPr>
                <w:rFonts w:hint="eastAsia" w:ascii="宋体" w:hAnsi="宋体"/>
                <w:sz w:val="18"/>
                <w:szCs w:val="18"/>
                <w:lang w:val="en-US" w:eastAsia="zh-CN"/>
              </w:rPr>
              <w:t>股</w:t>
            </w:r>
          </w:p>
        </w:tc>
        <w:tc>
          <w:tcPr>
            <w:tcW w:w="849" w:type="dxa"/>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7</w:t>
            </w:r>
          </w:p>
        </w:tc>
        <w:tc>
          <w:tcPr>
            <w:tcW w:w="813" w:type="dxa"/>
            <w:vMerge w:val="continue"/>
            <w:vAlign w:val="center"/>
          </w:tcPr>
          <w:p>
            <w:pPr>
              <w:spacing w:line="560" w:lineRule="exact"/>
              <w:jc w:val="center"/>
              <w:rPr>
                <w:rFonts w:hint="eastAsia" w:ascii="仿宋_GB2312" w:hAnsi="黑体" w:eastAsia="仿宋_GB2312" w:cs="宋体"/>
                <w:sz w:val="22"/>
              </w:rPr>
            </w:pPr>
          </w:p>
        </w:tc>
        <w:tc>
          <w:tcPr>
            <w:tcW w:w="1450"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仿宋_GB2312" w:hAnsi="仿宋_GB2312" w:eastAsia="仿宋_GB2312"/>
                <w:spacing w:val="-20"/>
                <w:sz w:val="20"/>
                <w:szCs w:val="20"/>
              </w:rPr>
              <w:t>送达</w:t>
            </w:r>
          </w:p>
        </w:tc>
        <w:tc>
          <w:tcPr>
            <w:tcW w:w="3775" w:type="dxa"/>
            <w:vAlign w:val="center"/>
          </w:tcPr>
          <w:p>
            <w:pPr>
              <w:autoSpaceDE w:val="0"/>
              <w:autoSpaceDN w:val="0"/>
              <w:spacing w:line="240" w:lineRule="exact"/>
              <w:rPr>
                <w:rFonts w:hint="eastAsia" w:ascii="仿宋_GB2312" w:hAnsi="仿宋_GB2312" w:eastAsia="仿宋_GB2312"/>
                <w:spacing w:val="-20"/>
                <w:sz w:val="20"/>
                <w:szCs w:val="20"/>
              </w:rPr>
            </w:pPr>
            <w:r>
              <w:rPr>
                <w:rFonts w:hint="eastAsia"/>
                <w:color w:val="000000"/>
                <w:sz w:val="20"/>
                <w:szCs w:val="20"/>
              </w:rPr>
              <w:t>4.送达阶段责任：送达文书；信息公开。</w:t>
            </w:r>
          </w:p>
        </w:tc>
        <w:tc>
          <w:tcPr>
            <w:tcW w:w="1161" w:type="dxa"/>
            <w:vAlign w:val="center"/>
          </w:tcPr>
          <w:p>
            <w:pPr>
              <w:spacing w:line="300" w:lineRule="exact"/>
              <w:jc w:val="center"/>
              <w:rPr>
                <w:rFonts w:hint="eastAsia" w:ascii="仿宋_GB2312" w:hAnsi="黑体" w:eastAsia="仿宋_GB2312" w:cs="宋体"/>
                <w:sz w:val="20"/>
                <w:szCs w:val="20"/>
              </w:rPr>
            </w:pPr>
            <w:r>
              <w:rPr>
                <w:rFonts w:hint="eastAsia" w:ascii="仿宋_GB2312" w:hAnsi="黑体" w:eastAsia="仿宋_GB2312" w:cs="宋体"/>
                <w:sz w:val="20"/>
                <w:szCs w:val="20"/>
              </w:rPr>
              <w:t>行政审批服务</w:t>
            </w:r>
            <w:r>
              <w:rPr>
                <w:rFonts w:hint="eastAsia" w:ascii="仿宋_GB2312" w:hAnsi="黑体" w:eastAsia="仿宋_GB2312" w:cs="宋体"/>
                <w:sz w:val="20"/>
                <w:szCs w:val="20"/>
                <w:lang w:val="en-US" w:eastAsia="zh-CN"/>
              </w:rPr>
              <w:t>股</w:t>
            </w:r>
          </w:p>
        </w:tc>
        <w:tc>
          <w:tcPr>
            <w:tcW w:w="849" w:type="dxa"/>
            <w:vAlign w:val="center"/>
          </w:tcPr>
          <w:p>
            <w:pPr>
              <w:spacing w:line="560" w:lineRule="exact"/>
              <w:jc w:val="center"/>
              <w:rPr>
                <w:rFonts w:hint="eastAsia" w:ascii="仿宋_GB2312" w:hAnsi="黑体" w:eastAsia="仿宋_GB2312" w:cs="宋体"/>
                <w:sz w:val="22"/>
                <w:lang w:eastAsia="zh-CN"/>
              </w:rPr>
            </w:pPr>
            <w:r>
              <w:rPr>
                <w:rFonts w:hint="eastAsia" w:ascii="仿宋_GB2312" w:hAnsi="黑体" w:eastAsia="仿宋_GB2312" w:cs="宋体"/>
                <w:sz w:val="22"/>
                <w:lang w:val="en-US" w:eastAsia="zh-CN"/>
              </w:rPr>
              <w:t>5</w:t>
            </w:r>
          </w:p>
        </w:tc>
        <w:tc>
          <w:tcPr>
            <w:tcW w:w="813" w:type="dxa"/>
            <w:vMerge w:val="continue"/>
            <w:vAlign w:val="center"/>
          </w:tcPr>
          <w:p>
            <w:pPr>
              <w:spacing w:line="560" w:lineRule="exact"/>
              <w:jc w:val="center"/>
              <w:rPr>
                <w:rFonts w:hint="eastAsia" w:ascii="仿宋_GB2312" w:hAnsi="黑体" w:eastAsia="仿宋_GB2312" w:cs="宋体"/>
                <w:sz w:val="22"/>
              </w:rPr>
            </w:pPr>
          </w:p>
        </w:tc>
        <w:tc>
          <w:tcPr>
            <w:tcW w:w="1450"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仿宋_GB2312" w:hAnsi="仿宋_GB2312" w:eastAsia="仿宋_GB2312"/>
                <w:spacing w:val="-20"/>
                <w:sz w:val="20"/>
                <w:szCs w:val="20"/>
              </w:rPr>
              <w:t>事后监管</w:t>
            </w:r>
          </w:p>
        </w:tc>
        <w:tc>
          <w:tcPr>
            <w:tcW w:w="3775" w:type="dxa"/>
            <w:vAlign w:val="center"/>
          </w:tcPr>
          <w:p>
            <w:pPr>
              <w:autoSpaceDE w:val="0"/>
              <w:autoSpaceDN w:val="0"/>
              <w:spacing w:line="240" w:lineRule="exact"/>
              <w:rPr>
                <w:rFonts w:hint="eastAsia" w:ascii="仿宋_GB2312" w:hAnsi="仿宋_GB2312" w:eastAsia="仿宋_GB2312"/>
                <w:spacing w:val="-20"/>
                <w:sz w:val="20"/>
                <w:szCs w:val="20"/>
              </w:rPr>
            </w:pPr>
            <w:r>
              <w:rPr>
                <w:rFonts w:hint="eastAsia"/>
                <w:color w:val="000000"/>
                <w:sz w:val="20"/>
                <w:szCs w:val="20"/>
              </w:rPr>
              <w:t>5.事后监管责任：开展定期和不定期检查。</w:t>
            </w:r>
          </w:p>
        </w:tc>
        <w:tc>
          <w:tcPr>
            <w:tcW w:w="1161" w:type="dxa"/>
            <w:vAlign w:val="center"/>
          </w:tcPr>
          <w:p>
            <w:pPr>
              <w:spacing w:line="240" w:lineRule="exact"/>
              <w:jc w:val="center"/>
              <w:rPr>
                <w:rFonts w:hint="eastAsia" w:ascii="宋体" w:hAnsi="宋体"/>
                <w:sz w:val="18"/>
                <w:szCs w:val="18"/>
              </w:rPr>
            </w:pPr>
            <w:r>
              <w:rPr>
                <w:rFonts w:hint="eastAsia" w:ascii="宋体" w:hAnsi="宋体"/>
                <w:sz w:val="18"/>
                <w:szCs w:val="18"/>
              </w:rPr>
              <w:t>市场体系建设</w:t>
            </w:r>
            <w:r>
              <w:rPr>
                <w:rFonts w:hint="eastAsia" w:ascii="宋体" w:hAnsi="宋体"/>
                <w:sz w:val="18"/>
                <w:szCs w:val="18"/>
                <w:lang w:val="en-US" w:eastAsia="zh-CN"/>
              </w:rPr>
              <w:t>股</w:t>
            </w:r>
          </w:p>
          <w:p>
            <w:pPr>
              <w:spacing w:line="240" w:lineRule="exact"/>
              <w:jc w:val="center"/>
              <w:rPr>
                <w:rFonts w:hint="eastAsia" w:ascii="仿宋_GB2312" w:hAnsi="黑体" w:eastAsia="仿宋_GB2312" w:cs="宋体"/>
                <w:sz w:val="20"/>
                <w:szCs w:val="20"/>
              </w:rPr>
            </w:pPr>
            <w:r>
              <w:rPr>
                <w:rFonts w:hint="eastAsia" w:ascii="宋体" w:hAnsi="宋体"/>
                <w:sz w:val="18"/>
                <w:szCs w:val="18"/>
              </w:rPr>
              <w:t>商务稽查</w:t>
            </w:r>
            <w:r>
              <w:rPr>
                <w:rFonts w:hint="eastAsia" w:ascii="宋体" w:hAnsi="宋体"/>
                <w:sz w:val="18"/>
                <w:szCs w:val="18"/>
                <w:lang w:val="en-US" w:eastAsia="zh-CN"/>
              </w:rPr>
              <w:t>大</w:t>
            </w:r>
            <w:r>
              <w:rPr>
                <w:rFonts w:hint="eastAsia" w:ascii="宋体" w:hAnsi="宋体"/>
                <w:sz w:val="18"/>
                <w:szCs w:val="18"/>
              </w:rPr>
              <w:t>队</w:t>
            </w:r>
          </w:p>
        </w:tc>
        <w:tc>
          <w:tcPr>
            <w:tcW w:w="849" w:type="dxa"/>
            <w:vAlign w:val="center"/>
          </w:tcPr>
          <w:p>
            <w:pPr>
              <w:spacing w:line="560" w:lineRule="exact"/>
              <w:jc w:val="center"/>
              <w:rPr>
                <w:rFonts w:hint="eastAsia" w:ascii="仿宋_GB2312" w:hAnsi="黑体" w:eastAsia="仿宋_GB2312" w:cs="宋体"/>
                <w:sz w:val="22"/>
              </w:rPr>
            </w:pPr>
          </w:p>
        </w:tc>
        <w:tc>
          <w:tcPr>
            <w:tcW w:w="813" w:type="dxa"/>
            <w:vMerge w:val="continue"/>
            <w:vAlign w:val="center"/>
          </w:tcPr>
          <w:p>
            <w:pPr>
              <w:spacing w:line="560" w:lineRule="exact"/>
              <w:jc w:val="center"/>
              <w:rPr>
                <w:rFonts w:hint="eastAsia" w:ascii="仿宋_GB2312" w:hAnsi="黑体" w:eastAsia="仿宋_GB2312" w:cs="宋体"/>
                <w:sz w:val="22"/>
              </w:rPr>
            </w:pPr>
          </w:p>
        </w:tc>
        <w:tc>
          <w:tcPr>
            <w:tcW w:w="1450"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p>
        </w:tc>
        <w:tc>
          <w:tcPr>
            <w:tcW w:w="3775" w:type="dxa"/>
            <w:vAlign w:val="center"/>
          </w:tcPr>
          <w:p>
            <w:pPr>
              <w:autoSpaceDE w:val="0"/>
              <w:autoSpaceDN w:val="0"/>
              <w:spacing w:line="240" w:lineRule="exact"/>
              <w:rPr>
                <w:rFonts w:hint="eastAsia" w:ascii="仿宋_GB2312" w:hAnsi="仿宋_GB2312" w:eastAsia="仿宋_GB2312"/>
                <w:spacing w:val="-20"/>
                <w:sz w:val="20"/>
                <w:szCs w:val="20"/>
              </w:rPr>
            </w:pPr>
            <w:r>
              <w:rPr>
                <w:rFonts w:hint="eastAsia"/>
                <w:color w:val="000000"/>
                <w:sz w:val="20"/>
                <w:szCs w:val="20"/>
              </w:rPr>
              <w:t>6.其他法律法规规章文件规定应履行的责任。</w:t>
            </w:r>
          </w:p>
        </w:tc>
        <w:tc>
          <w:tcPr>
            <w:tcW w:w="1161" w:type="dxa"/>
            <w:vAlign w:val="center"/>
          </w:tcPr>
          <w:p>
            <w:pPr>
              <w:spacing w:line="240" w:lineRule="exact"/>
              <w:jc w:val="center"/>
              <w:rPr>
                <w:rFonts w:hint="eastAsia" w:ascii="仿宋_GB2312" w:hAnsi="黑体" w:eastAsia="仿宋_GB2312" w:cs="宋体"/>
                <w:sz w:val="20"/>
                <w:szCs w:val="20"/>
              </w:rPr>
            </w:pPr>
            <w:r>
              <w:rPr>
                <w:rFonts w:hint="eastAsia" w:ascii="宋体" w:hAnsi="宋体"/>
                <w:sz w:val="18"/>
                <w:szCs w:val="18"/>
              </w:rPr>
              <w:t>市场体系建设</w:t>
            </w:r>
            <w:r>
              <w:rPr>
                <w:rFonts w:hint="eastAsia" w:ascii="宋体" w:hAnsi="宋体"/>
                <w:sz w:val="18"/>
                <w:szCs w:val="18"/>
                <w:lang w:val="en-US" w:eastAsia="zh-CN"/>
              </w:rPr>
              <w:t>股</w:t>
            </w:r>
          </w:p>
        </w:tc>
        <w:tc>
          <w:tcPr>
            <w:tcW w:w="849" w:type="dxa"/>
            <w:vAlign w:val="center"/>
          </w:tcPr>
          <w:p>
            <w:pPr>
              <w:spacing w:line="560" w:lineRule="exact"/>
              <w:jc w:val="center"/>
              <w:rPr>
                <w:rFonts w:hint="eastAsia" w:ascii="仿宋_GB2312" w:hAnsi="黑体" w:eastAsia="仿宋_GB2312" w:cs="宋体"/>
                <w:sz w:val="22"/>
              </w:rPr>
            </w:pPr>
          </w:p>
        </w:tc>
        <w:tc>
          <w:tcPr>
            <w:tcW w:w="813" w:type="dxa"/>
            <w:vMerge w:val="continue"/>
            <w:vAlign w:val="center"/>
          </w:tcPr>
          <w:p>
            <w:pPr>
              <w:spacing w:line="560" w:lineRule="exact"/>
              <w:jc w:val="center"/>
              <w:rPr>
                <w:rFonts w:hint="eastAsia" w:ascii="仿宋_GB2312" w:hAnsi="黑体" w:eastAsia="仿宋_GB2312" w:cs="宋体"/>
                <w:sz w:val="22"/>
              </w:rPr>
            </w:pPr>
          </w:p>
        </w:tc>
        <w:tc>
          <w:tcPr>
            <w:tcW w:w="1450"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12" w:hRule="atLeast"/>
          <w:jc w:val="center"/>
        </w:trPr>
        <w:tc>
          <w:tcPr>
            <w:tcW w:w="14174"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服务电话：</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投诉机构：</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商务举报投诉服务站</w:t>
            </w:r>
            <w:r>
              <w:rPr>
                <w:rFonts w:hint="eastAsia" w:ascii="仿宋_GB2312" w:hAnsi="黑体" w:eastAsia="仿宋_GB2312" w:cs="宋体"/>
                <w:sz w:val="22"/>
              </w:rPr>
              <w:t xml:space="preserve">      投诉电话：0394-</w:t>
            </w:r>
            <w:r>
              <w:rPr>
                <w:rFonts w:hint="eastAsia" w:ascii="仿宋_GB2312" w:hAnsi="黑体" w:eastAsia="仿宋_GB2312" w:cs="宋体"/>
                <w:sz w:val="22"/>
                <w:lang w:val="en-US" w:eastAsia="zh-CN"/>
              </w:rPr>
              <w:t>3229596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12" w:hRule="atLeast"/>
          <w:jc w:val="center"/>
        </w:trPr>
        <w:tc>
          <w:tcPr>
            <w:tcW w:w="14174"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受理地点：</w:t>
            </w:r>
            <w:r>
              <w:rPr>
                <w:rFonts w:hint="eastAsia" w:ascii="仿宋_GB2312" w:hAnsi="黑体" w:eastAsia="仿宋_GB2312" w:cs="宋体"/>
                <w:sz w:val="22"/>
                <w:lang w:val="en-US" w:eastAsia="zh-CN"/>
              </w:rPr>
              <w:t>郸城县世纪大道南段商务局二楼</w:t>
            </w:r>
          </w:p>
        </w:tc>
      </w:tr>
    </w:tbl>
    <w:p>
      <w:pPr>
        <w:ind w:firstLine="420" w:firstLineChars="200"/>
      </w:pPr>
    </w:p>
    <w:p>
      <w:pPr>
        <w:spacing w:line="560" w:lineRule="exact"/>
        <w:jc w:val="center"/>
        <w:rPr>
          <w:rFonts w:hint="eastAsia" w:ascii="黑体" w:eastAsia="黑体"/>
          <w:sz w:val="32"/>
          <w:szCs w:val="32"/>
          <w:lang w:val="zh-CN" w:eastAsia="zh-CN"/>
        </w:rPr>
      </w:pPr>
      <w:r>
        <w:br w:type="page"/>
      </w:r>
      <w:r>
        <w:rPr>
          <w:rFonts w:hint="eastAsia" w:ascii="黑体" w:eastAsia="黑体"/>
          <w:sz w:val="32"/>
          <w:szCs w:val="32"/>
          <w:lang w:val="en-US" w:eastAsia="zh-CN"/>
        </w:rPr>
        <w:t>郸城县</w:t>
      </w:r>
      <w:r>
        <w:rPr>
          <w:rFonts w:hint="eastAsia" w:ascii="黑体" w:eastAsia="黑体"/>
          <w:sz w:val="32"/>
          <w:szCs w:val="32"/>
          <w:lang w:val="zh-CN" w:eastAsia="zh-CN"/>
        </w:rPr>
        <w:t>商务局责任清单</w:t>
      </w:r>
    </w:p>
    <w:p>
      <w:pPr>
        <w:spacing w:line="560" w:lineRule="exact"/>
        <w:ind w:firstLine="440" w:firstLineChars="200"/>
        <w:rPr>
          <w:rFonts w:hint="eastAsia" w:ascii="仿宋_GB2312" w:hAnsi="黑体" w:eastAsia="仿宋_GB2312" w:cs="宋体"/>
          <w:sz w:val="22"/>
        </w:rPr>
      </w:pPr>
      <w:r>
        <w:rPr>
          <w:rFonts w:hint="eastAsia" w:ascii="仿宋_GB2312" w:hAnsi="黑体" w:eastAsia="仿宋_GB2312" w:cs="宋体"/>
          <w:sz w:val="22"/>
        </w:rPr>
        <w:t>职权类别：其他职权</w:t>
      </w:r>
    </w:p>
    <w:tbl>
      <w:tblPr>
        <w:tblStyle w:val="6"/>
        <w:tblW w:w="14174"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18"/>
        <w:gridCol w:w="1199"/>
        <w:gridCol w:w="3135"/>
        <w:gridCol w:w="1074"/>
        <w:gridCol w:w="3775"/>
        <w:gridCol w:w="1161"/>
        <w:gridCol w:w="849"/>
        <w:gridCol w:w="813"/>
        <w:gridCol w:w="145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8" w:hRule="atLeast"/>
          <w:jc w:val="center"/>
        </w:trPr>
        <w:tc>
          <w:tcPr>
            <w:tcW w:w="718"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序号</w:t>
            </w:r>
          </w:p>
        </w:tc>
        <w:tc>
          <w:tcPr>
            <w:tcW w:w="119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职权名称</w:t>
            </w:r>
          </w:p>
        </w:tc>
        <w:tc>
          <w:tcPr>
            <w:tcW w:w="313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实施依据</w:t>
            </w:r>
          </w:p>
        </w:tc>
        <w:tc>
          <w:tcPr>
            <w:tcW w:w="1074"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办理</w:t>
            </w:r>
          </w:p>
          <w:p>
            <w:pPr>
              <w:spacing w:line="360" w:lineRule="exact"/>
              <w:jc w:val="center"/>
              <w:rPr>
                <w:rFonts w:hint="eastAsia" w:ascii="黑体" w:hAnsi="黑体" w:eastAsia="黑体" w:cs="黑体"/>
                <w:sz w:val="22"/>
              </w:rPr>
            </w:pPr>
            <w:r>
              <w:rPr>
                <w:rFonts w:hint="eastAsia" w:ascii="黑体" w:hAnsi="黑体" w:eastAsia="黑体" w:cs="黑体"/>
                <w:sz w:val="22"/>
              </w:rPr>
              <w:t>环节</w:t>
            </w:r>
          </w:p>
        </w:tc>
        <w:tc>
          <w:tcPr>
            <w:tcW w:w="377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责任事项</w:t>
            </w:r>
          </w:p>
        </w:tc>
        <w:tc>
          <w:tcPr>
            <w:tcW w:w="1161"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w:t>
            </w:r>
            <w:r>
              <w:rPr>
                <w:rFonts w:hint="eastAsia" w:ascii="黑体" w:hAnsi="黑体" w:eastAsia="黑体" w:cs="黑体"/>
                <w:sz w:val="22"/>
                <w:lang w:val="en-US" w:eastAsia="zh-CN"/>
              </w:rPr>
              <w:t>股</w:t>
            </w:r>
            <w:r>
              <w:rPr>
                <w:rFonts w:hint="eastAsia" w:ascii="黑体" w:hAnsi="黑体" w:eastAsia="黑体" w:cs="黑体"/>
                <w:sz w:val="22"/>
              </w:rPr>
              <w:t>室</w:t>
            </w:r>
          </w:p>
        </w:tc>
        <w:tc>
          <w:tcPr>
            <w:tcW w:w="84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承诺时限</w:t>
            </w:r>
          </w:p>
        </w:tc>
        <w:tc>
          <w:tcPr>
            <w:tcW w:w="813"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法定时限</w:t>
            </w:r>
          </w:p>
        </w:tc>
        <w:tc>
          <w:tcPr>
            <w:tcW w:w="1450"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restart"/>
            <w:vAlign w:val="center"/>
          </w:tcPr>
          <w:p>
            <w:pPr>
              <w:spacing w:line="560" w:lineRule="exact"/>
              <w:jc w:val="center"/>
              <w:rPr>
                <w:rFonts w:hint="eastAsia" w:ascii="仿宋_GB2312" w:hAnsi="黑体" w:eastAsia="仿宋_GB2312" w:cs="宋体"/>
                <w:sz w:val="22"/>
                <w:lang w:eastAsia="zh-CN"/>
              </w:rPr>
            </w:pPr>
            <w:r>
              <w:rPr>
                <w:rFonts w:hint="eastAsia" w:ascii="仿宋_GB2312" w:hAnsi="黑体" w:eastAsia="仿宋_GB2312" w:cs="宋体"/>
                <w:sz w:val="22"/>
                <w:lang w:val="en-US" w:eastAsia="zh-CN"/>
              </w:rPr>
              <w:t>65</w:t>
            </w:r>
          </w:p>
        </w:tc>
        <w:tc>
          <w:tcPr>
            <w:tcW w:w="1199" w:type="dxa"/>
            <w:vMerge w:val="restart"/>
            <w:vAlign w:val="center"/>
          </w:tcPr>
          <w:p>
            <w:pPr>
              <w:rPr>
                <w:rFonts w:hint="eastAsia" w:ascii="仿宋_GB2312" w:hAnsi="黑体" w:eastAsia="仿宋_GB2312" w:cs="宋体"/>
                <w:spacing w:val="-20"/>
                <w:sz w:val="22"/>
              </w:rPr>
            </w:pPr>
            <w:r>
              <w:rPr>
                <w:rFonts w:hint="eastAsia"/>
                <w:sz w:val="22"/>
                <w:szCs w:val="22"/>
              </w:rPr>
              <w:t>二手车流通行业备案</w:t>
            </w:r>
          </w:p>
        </w:tc>
        <w:tc>
          <w:tcPr>
            <w:tcW w:w="3135" w:type="dxa"/>
            <w:vMerge w:val="restart"/>
            <w:vAlign w:val="center"/>
          </w:tcPr>
          <w:p>
            <w:pPr>
              <w:spacing w:line="240" w:lineRule="exact"/>
              <w:jc w:val="left"/>
              <w:rPr>
                <w:rFonts w:hint="eastAsia" w:ascii="仿宋_GB2312" w:hAnsi="黑体" w:eastAsia="仿宋_GB2312" w:cs="宋体"/>
                <w:spacing w:val="-20"/>
                <w:sz w:val="22"/>
              </w:rPr>
            </w:pPr>
            <w:r>
              <w:rPr>
                <w:rFonts w:hint="eastAsia"/>
                <w:sz w:val="20"/>
                <w:szCs w:val="20"/>
              </w:rPr>
              <w:t>《二手车流通管理办法》（商务部、公安部、工商总局、税务总局令2005年第2号 ）第三十三条：“ 建立二手车交易市场经营者和二手车经营主体备案制度。凡经工商行政管理部门依法登记, 取得营业执照的二手车交易市场经营者和二手车经营主体，应当自取得营业执照之日起2个月内向省级商务主管部门备案。省级商务主管部门应当将二手车交易市场经营者和二手车经营主体有关备案情况定期报送国务院商务主管部门。”</w:t>
            </w: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仿宋_GB2312" w:hAnsi="仿宋_GB2312" w:eastAsia="仿宋_GB2312"/>
                <w:spacing w:val="-20"/>
                <w:sz w:val="20"/>
                <w:szCs w:val="20"/>
              </w:rPr>
              <w:t>受理</w:t>
            </w:r>
          </w:p>
        </w:tc>
        <w:tc>
          <w:tcPr>
            <w:tcW w:w="3775" w:type="dxa"/>
            <w:vAlign w:val="center"/>
          </w:tcPr>
          <w:p>
            <w:pPr>
              <w:autoSpaceDE w:val="0"/>
              <w:autoSpaceDN w:val="0"/>
              <w:spacing w:line="240" w:lineRule="exact"/>
              <w:rPr>
                <w:rFonts w:hint="eastAsia" w:ascii="仿宋_GB2312" w:hAnsi="黑体" w:eastAsia="仿宋_GB2312" w:cs="宋体"/>
                <w:sz w:val="22"/>
              </w:rPr>
            </w:pPr>
            <w:r>
              <w:rPr>
                <w:rFonts w:hint="eastAsia"/>
                <w:color w:val="000000"/>
                <w:sz w:val="20"/>
                <w:szCs w:val="20"/>
              </w:rPr>
              <w:t>1.受理阶段责任：公示依法应当提交的材料；一次性告知补正材料；依法受理或不予受理（不予受理的告知理由）。</w:t>
            </w:r>
          </w:p>
        </w:tc>
        <w:tc>
          <w:tcPr>
            <w:tcW w:w="1161" w:type="dxa"/>
            <w:textDirection w:val="lrTb"/>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rPr>
              <w:t>市场体系建设</w:t>
            </w:r>
            <w:r>
              <w:rPr>
                <w:rFonts w:hint="eastAsia" w:ascii="仿宋_GB2312" w:hAnsi="黑体" w:eastAsia="仿宋_GB2312" w:cs="宋体"/>
                <w:sz w:val="18"/>
                <w:szCs w:val="18"/>
                <w:lang w:val="en-US" w:eastAsia="zh-CN"/>
              </w:rPr>
              <w:t>股</w:t>
            </w:r>
            <w:r>
              <w:rPr>
                <w:rFonts w:hint="eastAsia" w:ascii="仿宋_GB2312" w:hAnsi="黑体" w:eastAsia="仿宋_GB2312" w:cs="宋体"/>
                <w:sz w:val="18"/>
                <w:szCs w:val="18"/>
                <w:lang w:eastAsia="zh-CN"/>
              </w:rPr>
              <w:t>，</w:t>
            </w:r>
            <w:r>
              <w:rPr>
                <w:rFonts w:hint="eastAsia" w:ascii="仿宋_GB2312" w:hAnsi="黑体" w:eastAsia="仿宋_GB2312" w:cs="宋体"/>
                <w:sz w:val="18"/>
                <w:szCs w:val="18"/>
              </w:rPr>
              <w:t>商务稽查</w:t>
            </w:r>
            <w:r>
              <w:rPr>
                <w:rFonts w:hint="eastAsia" w:ascii="仿宋_GB2312" w:hAnsi="黑体" w:eastAsia="仿宋_GB2312" w:cs="宋体"/>
                <w:sz w:val="18"/>
                <w:szCs w:val="18"/>
                <w:lang w:val="en-US" w:eastAsia="zh-CN"/>
              </w:rPr>
              <w:t>大</w:t>
            </w:r>
            <w:r>
              <w:rPr>
                <w:rFonts w:hint="eastAsia" w:ascii="仿宋_GB2312" w:hAnsi="黑体" w:eastAsia="仿宋_GB2312" w:cs="宋体"/>
                <w:sz w:val="18"/>
                <w:szCs w:val="18"/>
              </w:rPr>
              <w:t>队</w:t>
            </w:r>
          </w:p>
        </w:tc>
        <w:tc>
          <w:tcPr>
            <w:tcW w:w="849"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1</w:t>
            </w:r>
          </w:p>
        </w:tc>
        <w:tc>
          <w:tcPr>
            <w:tcW w:w="813" w:type="dxa"/>
            <w:vMerge w:val="restart"/>
            <w:vAlign w:val="center"/>
          </w:tcPr>
          <w:p>
            <w:pPr>
              <w:spacing w:line="560" w:lineRule="exact"/>
              <w:jc w:val="center"/>
              <w:rPr>
                <w:rFonts w:hint="eastAsia" w:ascii="仿宋_GB2312" w:hAnsi="黑体" w:eastAsia="仿宋_GB2312" w:cs="宋体"/>
                <w:sz w:val="22"/>
              </w:rPr>
            </w:pPr>
          </w:p>
        </w:tc>
        <w:tc>
          <w:tcPr>
            <w:tcW w:w="1450" w:type="dxa"/>
            <w:vMerge w:val="restart"/>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仿宋_GB2312" w:hAnsi="仿宋_GB2312" w:eastAsia="仿宋_GB2312"/>
                <w:spacing w:val="-20"/>
                <w:sz w:val="20"/>
                <w:szCs w:val="20"/>
              </w:rPr>
              <w:t>审查</w:t>
            </w:r>
          </w:p>
        </w:tc>
        <w:tc>
          <w:tcPr>
            <w:tcW w:w="3775" w:type="dxa"/>
            <w:vAlign w:val="center"/>
          </w:tcPr>
          <w:p>
            <w:pPr>
              <w:autoSpaceDE w:val="0"/>
              <w:autoSpaceDN w:val="0"/>
              <w:spacing w:line="240" w:lineRule="exact"/>
              <w:rPr>
                <w:rFonts w:hint="eastAsia" w:ascii="仿宋_GB2312" w:hAnsi="仿宋_GB2312" w:eastAsia="仿宋_GB2312"/>
                <w:spacing w:val="-20"/>
                <w:sz w:val="20"/>
                <w:szCs w:val="20"/>
              </w:rPr>
            </w:pPr>
            <w:r>
              <w:rPr>
                <w:rFonts w:hint="eastAsia"/>
                <w:color w:val="000000"/>
                <w:sz w:val="20"/>
                <w:szCs w:val="20"/>
              </w:rPr>
              <w:t>2.审查阶段责任：材料审核；提出初审意见。</w:t>
            </w:r>
          </w:p>
        </w:tc>
        <w:tc>
          <w:tcPr>
            <w:tcW w:w="1161" w:type="dxa"/>
            <w:textDirection w:val="lrTb"/>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hint="eastAsia" w:ascii="仿宋_GB2312" w:hAnsi="黑体" w:eastAsia="仿宋_GB2312" w:cs="宋体"/>
                <w:sz w:val="18"/>
                <w:szCs w:val="18"/>
              </w:rPr>
            </w:pPr>
            <w:r>
              <w:rPr>
                <w:rFonts w:hint="eastAsia" w:ascii="仿宋_GB2312" w:hAnsi="黑体" w:eastAsia="仿宋_GB2312" w:cs="宋体"/>
                <w:sz w:val="18"/>
                <w:szCs w:val="18"/>
              </w:rPr>
              <w:t>市场体系建设</w:t>
            </w:r>
            <w:r>
              <w:rPr>
                <w:rFonts w:hint="eastAsia" w:ascii="仿宋_GB2312" w:hAnsi="黑体" w:eastAsia="仿宋_GB2312" w:cs="宋体"/>
                <w:sz w:val="18"/>
                <w:szCs w:val="18"/>
                <w:lang w:val="en-US" w:eastAsia="zh-CN"/>
              </w:rPr>
              <w:t>股</w:t>
            </w:r>
            <w:r>
              <w:rPr>
                <w:rFonts w:hint="eastAsia" w:ascii="仿宋_GB2312" w:hAnsi="黑体" w:eastAsia="仿宋_GB2312" w:cs="宋体"/>
                <w:sz w:val="18"/>
                <w:szCs w:val="18"/>
                <w:lang w:eastAsia="zh-CN"/>
              </w:rPr>
              <w:t>，</w:t>
            </w:r>
            <w:r>
              <w:rPr>
                <w:rFonts w:hint="eastAsia" w:ascii="仿宋_GB2312" w:hAnsi="黑体" w:eastAsia="仿宋_GB2312" w:cs="宋体"/>
                <w:sz w:val="18"/>
                <w:szCs w:val="18"/>
              </w:rPr>
              <w:t>商务稽查</w:t>
            </w:r>
            <w:r>
              <w:rPr>
                <w:rFonts w:hint="eastAsia" w:ascii="仿宋_GB2312" w:hAnsi="黑体" w:eastAsia="仿宋_GB2312" w:cs="宋体"/>
                <w:sz w:val="18"/>
                <w:szCs w:val="18"/>
                <w:lang w:val="en-US" w:eastAsia="zh-CN"/>
              </w:rPr>
              <w:t>大</w:t>
            </w:r>
            <w:r>
              <w:rPr>
                <w:rFonts w:hint="eastAsia" w:ascii="仿宋_GB2312" w:hAnsi="黑体" w:eastAsia="仿宋_GB2312" w:cs="宋体"/>
                <w:sz w:val="18"/>
                <w:szCs w:val="18"/>
              </w:rPr>
              <w:t>队</w:t>
            </w:r>
          </w:p>
        </w:tc>
        <w:tc>
          <w:tcPr>
            <w:tcW w:w="849" w:type="dxa"/>
            <w:vAlign w:val="center"/>
          </w:tcPr>
          <w:p>
            <w:pPr>
              <w:spacing w:line="560" w:lineRule="exact"/>
              <w:jc w:val="center"/>
              <w:rPr>
                <w:rFonts w:hint="eastAsia" w:ascii="仿宋_GB2312" w:hAnsi="黑体" w:eastAsia="仿宋_GB2312" w:cs="宋体"/>
                <w:sz w:val="22"/>
                <w:lang w:eastAsia="zh-CN"/>
              </w:rPr>
            </w:pPr>
            <w:r>
              <w:rPr>
                <w:rFonts w:hint="eastAsia" w:ascii="仿宋_GB2312" w:hAnsi="黑体" w:eastAsia="仿宋_GB2312" w:cs="宋体"/>
                <w:sz w:val="22"/>
                <w:lang w:val="en-US" w:eastAsia="zh-CN"/>
              </w:rPr>
              <w:t>7</w:t>
            </w:r>
          </w:p>
        </w:tc>
        <w:tc>
          <w:tcPr>
            <w:tcW w:w="813" w:type="dxa"/>
            <w:vMerge w:val="continue"/>
            <w:vAlign w:val="center"/>
          </w:tcPr>
          <w:p>
            <w:pPr>
              <w:spacing w:line="560" w:lineRule="exact"/>
              <w:jc w:val="center"/>
              <w:rPr>
                <w:rFonts w:hint="eastAsia" w:ascii="仿宋_GB2312" w:hAnsi="黑体" w:eastAsia="仿宋_GB2312" w:cs="宋体"/>
                <w:sz w:val="22"/>
              </w:rPr>
            </w:pPr>
          </w:p>
        </w:tc>
        <w:tc>
          <w:tcPr>
            <w:tcW w:w="1450"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仿宋_GB2312" w:hAnsi="仿宋_GB2312" w:eastAsia="仿宋_GB2312"/>
                <w:spacing w:val="-20"/>
                <w:sz w:val="20"/>
                <w:szCs w:val="20"/>
              </w:rPr>
              <w:t>决定</w:t>
            </w:r>
          </w:p>
        </w:tc>
        <w:tc>
          <w:tcPr>
            <w:tcW w:w="3775" w:type="dxa"/>
            <w:vAlign w:val="center"/>
          </w:tcPr>
          <w:p>
            <w:pPr>
              <w:autoSpaceDE w:val="0"/>
              <w:autoSpaceDN w:val="0"/>
              <w:spacing w:line="240" w:lineRule="exact"/>
              <w:rPr>
                <w:rFonts w:hint="eastAsia" w:ascii="仿宋_GB2312" w:hAnsi="仿宋_GB2312" w:eastAsia="仿宋_GB2312"/>
                <w:spacing w:val="-20"/>
                <w:sz w:val="20"/>
                <w:szCs w:val="20"/>
              </w:rPr>
            </w:pPr>
            <w:r>
              <w:rPr>
                <w:rFonts w:hint="eastAsia"/>
                <w:color w:val="000000"/>
                <w:sz w:val="20"/>
                <w:szCs w:val="20"/>
              </w:rPr>
              <w:t>3.决定阶段责任：作出初审批准或者不批准的决定（不批准的告知理由）；按时办结；法定告知。</w:t>
            </w:r>
          </w:p>
        </w:tc>
        <w:tc>
          <w:tcPr>
            <w:tcW w:w="1161" w:type="dxa"/>
            <w:textDirection w:val="lrTb"/>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hint="eastAsia" w:ascii="仿宋_GB2312" w:hAnsi="黑体" w:eastAsia="仿宋_GB2312" w:cs="宋体"/>
                <w:sz w:val="18"/>
                <w:szCs w:val="18"/>
              </w:rPr>
            </w:pPr>
            <w:r>
              <w:rPr>
                <w:rFonts w:hint="eastAsia" w:ascii="仿宋_GB2312" w:hAnsi="黑体" w:eastAsia="仿宋_GB2312" w:cs="宋体"/>
                <w:sz w:val="18"/>
                <w:szCs w:val="18"/>
              </w:rPr>
              <w:t>市场体系建设</w:t>
            </w:r>
            <w:r>
              <w:rPr>
                <w:rFonts w:hint="eastAsia" w:ascii="仿宋_GB2312" w:hAnsi="黑体" w:eastAsia="仿宋_GB2312" w:cs="宋体"/>
                <w:sz w:val="18"/>
                <w:szCs w:val="18"/>
                <w:lang w:val="en-US" w:eastAsia="zh-CN"/>
              </w:rPr>
              <w:t>股</w:t>
            </w:r>
            <w:r>
              <w:rPr>
                <w:rFonts w:hint="eastAsia" w:ascii="仿宋_GB2312" w:hAnsi="黑体" w:eastAsia="仿宋_GB2312" w:cs="宋体"/>
                <w:sz w:val="18"/>
                <w:szCs w:val="18"/>
                <w:lang w:eastAsia="zh-CN"/>
              </w:rPr>
              <w:t>，</w:t>
            </w:r>
            <w:r>
              <w:rPr>
                <w:rFonts w:hint="eastAsia" w:ascii="仿宋_GB2312" w:hAnsi="黑体" w:eastAsia="仿宋_GB2312" w:cs="宋体"/>
                <w:sz w:val="18"/>
                <w:szCs w:val="18"/>
              </w:rPr>
              <w:t>商务稽查</w:t>
            </w:r>
            <w:r>
              <w:rPr>
                <w:rFonts w:hint="eastAsia" w:ascii="仿宋_GB2312" w:hAnsi="黑体" w:eastAsia="仿宋_GB2312" w:cs="宋体"/>
                <w:sz w:val="18"/>
                <w:szCs w:val="18"/>
                <w:lang w:val="en-US" w:eastAsia="zh-CN"/>
              </w:rPr>
              <w:t>大</w:t>
            </w:r>
            <w:r>
              <w:rPr>
                <w:rFonts w:hint="eastAsia" w:ascii="仿宋_GB2312" w:hAnsi="黑体" w:eastAsia="仿宋_GB2312" w:cs="宋体"/>
                <w:sz w:val="18"/>
                <w:szCs w:val="18"/>
              </w:rPr>
              <w:t>队</w:t>
            </w:r>
          </w:p>
        </w:tc>
        <w:tc>
          <w:tcPr>
            <w:tcW w:w="849" w:type="dxa"/>
            <w:vAlign w:val="center"/>
          </w:tcPr>
          <w:p>
            <w:pPr>
              <w:spacing w:line="560" w:lineRule="exact"/>
              <w:jc w:val="center"/>
              <w:rPr>
                <w:rFonts w:hint="eastAsia" w:ascii="仿宋_GB2312" w:hAnsi="黑体" w:eastAsia="仿宋_GB2312" w:cs="宋体"/>
                <w:sz w:val="22"/>
                <w:lang w:eastAsia="zh-CN"/>
              </w:rPr>
            </w:pPr>
            <w:r>
              <w:rPr>
                <w:rFonts w:hint="eastAsia" w:ascii="仿宋_GB2312" w:hAnsi="黑体" w:eastAsia="仿宋_GB2312" w:cs="宋体"/>
                <w:sz w:val="22"/>
                <w:lang w:val="en-US" w:eastAsia="zh-CN"/>
              </w:rPr>
              <w:t>5</w:t>
            </w:r>
          </w:p>
        </w:tc>
        <w:tc>
          <w:tcPr>
            <w:tcW w:w="813" w:type="dxa"/>
            <w:vMerge w:val="continue"/>
            <w:vAlign w:val="center"/>
          </w:tcPr>
          <w:p>
            <w:pPr>
              <w:spacing w:line="560" w:lineRule="exact"/>
              <w:jc w:val="center"/>
              <w:rPr>
                <w:rFonts w:hint="eastAsia" w:ascii="仿宋_GB2312" w:hAnsi="黑体" w:eastAsia="仿宋_GB2312" w:cs="宋体"/>
                <w:sz w:val="22"/>
              </w:rPr>
            </w:pPr>
          </w:p>
        </w:tc>
        <w:tc>
          <w:tcPr>
            <w:tcW w:w="1450"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仿宋_GB2312" w:hAnsi="仿宋_GB2312" w:eastAsia="仿宋_GB2312"/>
                <w:spacing w:val="-20"/>
                <w:sz w:val="20"/>
                <w:szCs w:val="20"/>
              </w:rPr>
              <w:t>送达</w:t>
            </w:r>
          </w:p>
        </w:tc>
        <w:tc>
          <w:tcPr>
            <w:tcW w:w="3775" w:type="dxa"/>
            <w:vAlign w:val="center"/>
          </w:tcPr>
          <w:p>
            <w:pPr>
              <w:autoSpaceDE w:val="0"/>
              <w:autoSpaceDN w:val="0"/>
              <w:spacing w:line="240" w:lineRule="exact"/>
              <w:rPr>
                <w:rFonts w:hint="eastAsia" w:ascii="仿宋_GB2312" w:hAnsi="仿宋_GB2312" w:eastAsia="仿宋_GB2312"/>
                <w:spacing w:val="-20"/>
                <w:sz w:val="20"/>
                <w:szCs w:val="20"/>
              </w:rPr>
            </w:pPr>
            <w:r>
              <w:rPr>
                <w:rFonts w:hint="eastAsia"/>
                <w:color w:val="000000"/>
                <w:sz w:val="20"/>
                <w:szCs w:val="20"/>
              </w:rPr>
              <w:t>4.送达阶段责任：送达文书；信息公开。</w:t>
            </w:r>
          </w:p>
        </w:tc>
        <w:tc>
          <w:tcPr>
            <w:tcW w:w="1161" w:type="dxa"/>
            <w:textDirection w:val="lrTb"/>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hint="eastAsia" w:ascii="仿宋_GB2312" w:hAnsi="黑体" w:eastAsia="仿宋_GB2312" w:cs="宋体"/>
                <w:sz w:val="18"/>
                <w:szCs w:val="18"/>
              </w:rPr>
            </w:pPr>
            <w:r>
              <w:rPr>
                <w:rFonts w:hint="eastAsia" w:ascii="仿宋_GB2312" w:hAnsi="黑体" w:eastAsia="仿宋_GB2312" w:cs="宋体"/>
                <w:sz w:val="18"/>
                <w:szCs w:val="18"/>
              </w:rPr>
              <w:t>市场体系建设</w:t>
            </w:r>
            <w:r>
              <w:rPr>
                <w:rFonts w:hint="eastAsia" w:ascii="仿宋_GB2312" w:hAnsi="黑体" w:eastAsia="仿宋_GB2312" w:cs="宋体"/>
                <w:sz w:val="18"/>
                <w:szCs w:val="18"/>
                <w:lang w:val="en-US" w:eastAsia="zh-CN"/>
              </w:rPr>
              <w:t>股</w:t>
            </w:r>
            <w:r>
              <w:rPr>
                <w:rFonts w:hint="eastAsia" w:ascii="仿宋_GB2312" w:hAnsi="黑体" w:eastAsia="仿宋_GB2312" w:cs="宋体"/>
                <w:sz w:val="18"/>
                <w:szCs w:val="18"/>
                <w:lang w:eastAsia="zh-CN"/>
              </w:rPr>
              <w:t>，</w:t>
            </w:r>
            <w:r>
              <w:rPr>
                <w:rFonts w:hint="eastAsia" w:ascii="仿宋_GB2312" w:hAnsi="黑体" w:eastAsia="仿宋_GB2312" w:cs="宋体"/>
                <w:sz w:val="18"/>
                <w:szCs w:val="18"/>
              </w:rPr>
              <w:t>商务稽查</w:t>
            </w:r>
            <w:r>
              <w:rPr>
                <w:rFonts w:hint="eastAsia" w:ascii="仿宋_GB2312" w:hAnsi="黑体" w:eastAsia="仿宋_GB2312" w:cs="宋体"/>
                <w:sz w:val="18"/>
                <w:szCs w:val="18"/>
                <w:lang w:val="en-US" w:eastAsia="zh-CN"/>
              </w:rPr>
              <w:t>大</w:t>
            </w:r>
            <w:r>
              <w:rPr>
                <w:rFonts w:hint="eastAsia" w:ascii="仿宋_GB2312" w:hAnsi="黑体" w:eastAsia="仿宋_GB2312" w:cs="宋体"/>
                <w:sz w:val="18"/>
                <w:szCs w:val="18"/>
              </w:rPr>
              <w:t>队</w:t>
            </w:r>
          </w:p>
        </w:tc>
        <w:tc>
          <w:tcPr>
            <w:tcW w:w="849" w:type="dxa"/>
            <w:vAlign w:val="center"/>
          </w:tcPr>
          <w:p>
            <w:pPr>
              <w:spacing w:line="560" w:lineRule="exact"/>
              <w:jc w:val="center"/>
              <w:rPr>
                <w:rFonts w:hint="eastAsia" w:ascii="仿宋_GB2312" w:hAnsi="黑体" w:eastAsia="仿宋_GB2312" w:cs="宋体"/>
                <w:sz w:val="22"/>
                <w:lang w:eastAsia="zh-CN"/>
              </w:rPr>
            </w:pPr>
            <w:r>
              <w:rPr>
                <w:rFonts w:hint="eastAsia" w:ascii="仿宋_GB2312" w:hAnsi="黑体" w:eastAsia="仿宋_GB2312" w:cs="宋体"/>
                <w:sz w:val="22"/>
                <w:lang w:val="en-US" w:eastAsia="zh-CN"/>
              </w:rPr>
              <w:t>3</w:t>
            </w:r>
          </w:p>
        </w:tc>
        <w:tc>
          <w:tcPr>
            <w:tcW w:w="813" w:type="dxa"/>
            <w:vMerge w:val="continue"/>
            <w:vAlign w:val="center"/>
          </w:tcPr>
          <w:p>
            <w:pPr>
              <w:spacing w:line="560" w:lineRule="exact"/>
              <w:jc w:val="center"/>
              <w:rPr>
                <w:rFonts w:hint="eastAsia" w:ascii="仿宋_GB2312" w:hAnsi="黑体" w:eastAsia="仿宋_GB2312" w:cs="宋体"/>
                <w:sz w:val="22"/>
              </w:rPr>
            </w:pPr>
          </w:p>
        </w:tc>
        <w:tc>
          <w:tcPr>
            <w:tcW w:w="1450"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仿宋_GB2312" w:hAnsi="仿宋_GB2312" w:eastAsia="仿宋_GB2312"/>
                <w:spacing w:val="-20"/>
                <w:sz w:val="20"/>
                <w:szCs w:val="20"/>
              </w:rPr>
              <w:t>事后监管</w:t>
            </w:r>
          </w:p>
        </w:tc>
        <w:tc>
          <w:tcPr>
            <w:tcW w:w="3775" w:type="dxa"/>
            <w:vAlign w:val="center"/>
          </w:tcPr>
          <w:p>
            <w:pPr>
              <w:autoSpaceDE w:val="0"/>
              <w:autoSpaceDN w:val="0"/>
              <w:spacing w:line="240" w:lineRule="exact"/>
              <w:rPr>
                <w:rFonts w:hint="eastAsia" w:ascii="仿宋_GB2312" w:hAnsi="仿宋_GB2312" w:eastAsia="仿宋_GB2312"/>
                <w:spacing w:val="-20"/>
                <w:sz w:val="20"/>
                <w:szCs w:val="20"/>
              </w:rPr>
            </w:pPr>
            <w:r>
              <w:rPr>
                <w:rFonts w:hint="eastAsia"/>
                <w:color w:val="000000"/>
                <w:sz w:val="20"/>
                <w:szCs w:val="20"/>
              </w:rPr>
              <w:t>5.事后监管责任：开展定期和不定期检查，根据检查情况，做出资质注销等决定。</w:t>
            </w:r>
          </w:p>
        </w:tc>
        <w:tc>
          <w:tcPr>
            <w:tcW w:w="1161" w:type="dxa"/>
            <w:textDirection w:val="lrTb"/>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hint="eastAsia" w:ascii="仿宋_GB2312" w:hAnsi="黑体" w:eastAsia="仿宋_GB2312" w:cs="宋体"/>
                <w:sz w:val="18"/>
                <w:szCs w:val="18"/>
              </w:rPr>
            </w:pPr>
            <w:r>
              <w:rPr>
                <w:rFonts w:hint="eastAsia" w:ascii="仿宋_GB2312" w:hAnsi="黑体" w:eastAsia="仿宋_GB2312" w:cs="宋体"/>
                <w:sz w:val="18"/>
                <w:szCs w:val="18"/>
              </w:rPr>
              <w:t>市场体系建设</w:t>
            </w:r>
            <w:r>
              <w:rPr>
                <w:rFonts w:hint="eastAsia" w:ascii="仿宋_GB2312" w:hAnsi="黑体" w:eastAsia="仿宋_GB2312" w:cs="宋体"/>
                <w:sz w:val="18"/>
                <w:szCs w:val="18"/>
                <w:lang w:val="en-US" w:eastAsia="zh-CN"/>
              </w:rPr>
              <w:t>股</w:t>
            </w:r>
            <w:r>
              <w:rPr>
                <w:rFonts w:hint="eastAsia" w:ascii="仿宋_GB2312" w:hAnsi="黑体" w:eastAsia="仿宋_GB2312" w:cs="宋体"/>
                <w:sz w:val="18"/>
                <w:szCs w:val="18"/>
                <w:lang w:eastAsia="zh-CN"/>
              </w:rPr>
              <w:t>，</w:t>
            </w:r>
            <w:r>
              <w:rPr>
                <w:rFonts w:hint="eastAsia" w:ascii="仿宋_GB2312" w:hAnsi="黑体" w:eastAsia="仿宋_GB2312" w:cs="宋体"/>
                <w:sz w:val="18"/>
                <w:szCs w:val="18"/>
              </w:rPr>
              <w:t>商务稽查</w:t>
            </w:r>
            <w:r>
              <w:rPr>
                <w:rFonts w:hint="eastAsia" w:ascii="仿宋_GB2312" w:hAnsi="黑体" w:eastAsia="仿宋_GB2312" w:cs="宋体"/>
                <w:sz w:val="18"/>
                <w:szCs w:val="18"/>
                <w:lang w:val="en-US" w:eastAsia="zh-CN"/>
              </w:rPr>
              <w:t>大</w:t>
            </w:r>
            <w:r>
              <w:rPr>
                <w:rFonts w:hint="eastAsia" w:ascii="仿宋_GB2312" w:hAnsi="黑体" w:eastAsia="仿宋_GB2312" w:cs="宋体"/>
                <w:sz w:val="18"/>
                <w:szCs w:val="18"/>
              </w:rPr>
              <w:t>队</w:t>
            </w:r>
          </w:p>
        </w:tc>
        <w:tc>
          <w:tcPr>
            <w:tcW w:w="849" w:type="dxa"/>
            <w:vAlign w:val="center"/>
          </w:tcPr>
          <w:p>
            <w:pPr>
              <w:spacing w:line="560" w:lineRule="exact"/>
              <w:jc w:val="center"/>
              <w:rPr>
                <w:rFonts w:hint="eastAsia" w:ascii="仿宋_GB2312" w:hAnsi="黑体" w:eastAsia="仿宋_GB2312" w:cs="宋体"/>
                <w:sz w:val="22"/>
              </w:rPr>
            </w:pPr>
          </w:p>
        </w:tc>
        <w:tc>
          <w:tcPr>
            <w:tcW w:w="813" w:type="dxa"/>
            <w:vMerge w:val="continue"/>
            <w:vAlign w:val="center"/>
          </w:tcPr>
          <w:p>
            <w:pPr>
              <w:spacing w:line="560" w:lineRule="exact"/>
              <w:jc w:val="center"/>
              <w:rPr>
                <w:rFonts w:hint="eastAsia" w:ascii="仿宋_GB2312" w:hAnsi="黑体" w:eastAsia="仿宋_GB2312" w:cs="宋体"/>
                <w:sz w:val="22"/>
              </w:rPr>
            </w:pPr>
          </w:p>
        </w:tc>
        <w:tc>
          <w:tcPr>
            <w:tcW w:w="1450"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p>
        </w:tc>
        <w:tc>
          <w:tcPr>
            <w:tcW w:w="3775" w:type="dxa"/>
            <w:vAlign w:val="center"/>
          </w:tcPr>
          <w:p>
            <w:pPr>
              <w:autoSpaceDE w:val="0"/>
              <w:autoSpaceDN w:val="0"/>
              <w:spacing w:line="240" w:lineRule="exact"/>
              <w:rPr>
                <w:rFonts w:hint="eastAsia" w:ascii="仿宋_GB2312" w:hAnsi="仿宋_GB2312" w:eastAsia="仿宋_GB2312"/>
                <w:spacing w:val="-20"/>
                <w:sz w:val="20"/>
                <w:szCs w:val="20"/>
              </w:rPr>
            </w:pPr>
            <w:r>
              <w:rPr>
                <w:rFonts w:hint="eastAsia"/>
                <w:color w:val="000000"/>
                <w:sz w:val="20"/>
                <w:szCs w:val="20"/>
              </w:rPr>
              <w:t>6.其他法律法规规章文件规定应履行的责任。</w:t>
            </w:r>
          </w:p>
        </w:tc>
        <w:tc>
          <w:tcPr>
            <w:tcW w:w="1161" w:type="dxa"/>
            <w:textDirection w:val="lrTb"/>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hint="eastAsia" w:ascii="仿宋_GB2312" w:hAnsi="黑体" w:eastAsia="仿宋_GB2312" w:cs="宋体"/>
                <w:sz w:val="18"/>
                <w:szCs w:val="18"/>
              </w:rPr>
            </w:pPr>
            <w:r>
              <w:rPr>
                <w:rFonts w:hint="eastAsia" w:ascii="仿宋_GB2312" w:hAnsi="黑体" w:eastAsia="仿宋_GB2312" w:cs="宋体"/>
                <w:sz w:val="18"/>
                <w:szCs w:val="18"/>
              </w:rPr>
              <w:t>市场体系建设</w:t>
            </w:r>
            <w:r>
              <w:rPr>
                <w:rFonts w:hint="eastAsia" w:ascii="仿宋_GB2312" w:hAnsi="黑体" w:eastAsia="仿宋_GB2312" w:cs="宋体"/>
                <w:sz w:val="18"/>
                <w:szCs w:val="18"/>
                <w:lang w:val="en-US" w:eastAsia="zh-CN"/>
              </w:rPr>
              <w:t>股</w:t>
            </w:r>
            <w:r>
              <w:rPr>
                <w:rFonts w:hint="eastAsia" w:ascii="仿宋_GB2312" w:hAnsi="黑体" w:eastAsia="仿宋_GB2312" w:cs="宋体"/>
                <w:sz w:val="18"/>
                <w:szCs w:val="18"/>
                <w:lang w:eastAsia="zh-CN"/>
              </w:rPr>
              <w:t>，</w:t>
            </w:r>
            <w:r>
              <w:rPr>
                <w:rFonts w:hint="eastAsia" w:ascii="仿宋_GB2312" w:hAnsi="黑体" w:eastAsia="仿宋_GB2312" w:cs="宋体"/>
                <w:sz w:val="18"/>
                <w:szCs w:val="18"/>
              </w:rPr>
              <w:t>商务稽查</w:t>
            </w:r>
            <w:r>
              <w:rPr>
                <w:rFonts w:hint="eastAsia" w:ascii="仿宋_GB2312" w:hAnsi="黑体" w:eastAsia="仿宋_GB2312" w:cs="宋体"/>
                <w:sz w:val="18"/>
                <w:szCs w:val="18"/>
                <w:lang w:val="en-US" w:eastAsia="zh-CN"/>
              </w:rPr>
              <w:t>大</w:t>
            </w:r>
            <w:r>
              <w:rPr>
                <w:rFonts w:hint="eastAsia" w:ascii="仿宋_GB2312" w:hAnsi="黑体" w:eastAsia="仿宋_GB2312" w:cs="宋体"/>
                <w:sz w:val="18"/>
                <w:szCs w:val="18"/>
              </w:rPr>
              <w:t>队</w:t>
            </w:r>
          </w:p>
        </w:tc>
        <w:tc>
          <w:tcPr>
            <w:tcW w:w="849" w:type="dxa"/>
            <w:vAlign w:val="center"/>
          </w:tcPr>
          <w:p>
            <w:pPr>
              <w:spacing w:line="560" w:lineRule="exact"/>
              <w:jc w:val="center"/>
              <w:rPr>
                <w:rFonts w:hint="eastAsia" w:ascii="仿宋_GB2312" w:hAnsi="黑体" w:eastAsia="仿宋_GB2312" w:cs="宋体"/>
                <w:sz w:val="22"/>
              </w:rPr>
            </w:pPr>
          </w:p>
        </w:tc>
        <w:tc>
          <w:tcPr>
            <w:tcW w:w="813" w:type="dxa"/>
            <w:vMerge w:val="continue"/>
            <w:vAlign w:val="center"/>
          </w:tcPr>
          <w:p>
            <w:pPr>
              <w:spacing w:line="560" w:lineRule="exact"/>
              <w:jc w:val="center"/>
              <w:rPr>
                <w:rFonts w:hint="eastAsia" w:ascii="仿宋_GB2312" w:hAnsi="黑体" w:eastAsia="仿宋_GB2312" w:cs="宋体"/>
                <w:sz w:val="22"/>
              </w:rPr>
            </w:pPr>
          </w:p>
        </w:tc>
        <w:tc>
          <w:tcPr>
            <w:tcW w:w="1450"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12" w:hRule="atLeast"/>
          <w:jc w:val="center"/>
        </w:trPr>
        <w:tc>
          <w:tcPr>
            <w:tcW w:w="14174"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服务电话：</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投诉机构：</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商务举报投诉服务站</w:t>
            </w:r>
            <w:r>
              <w:rPr>
                <w:rFonts w:hint="eastAsia" w:ascii="仿宋_GB2312" w:hAnsi="黑体" w:eastAsia="仿宋_GB2312" w:cs="宋体"/>
                <w:sz w:val="22"/>
              </w:rPr>
              <w:t xml:space="preserve">      投诉电话：0394-</w:t>
            </w:r>
            <w:r>
              <w:rPr>
                <w:rFonts w:hint="eastAsia" w:ascii="仿宋_GB2312" w:hAnsi="黑体" w:eastAsia="仿宋_GB2312" w:cs="宋体"/>
                <w:sz w:val="22"/>
                <w:lang w:val="en-US" w:eastAsia="zh-CN"/>
              </w:rPr>
              <w:t>3229596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12" w:hRule="atLeast"/>
          <w:jc w:val="center"/>
        </w:trPr>
        <w:tc>
          <w:tcPr>
            <w:tcW w:w="14174"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受理地点：</w:t>
            </w:r>
            <w:r>
              <w:rPr>
                <w:rFonts w:hint="eastAsia" w:ascii="仿宋_GB2312" w:hAnsi="黑体" w:eastAsia="仿宋_GB2312" w:cs="宋体"/>
                <w:sz w:val="22"/>
                <w:lang w:val="en-US" w:eastAsia="zh-CN"/>
              </w:rPr>
              <w:t>郸城县世纪大道南段商务局二楼</w:t>
            </w:r>
          </w:p>
        </w:tc>
      </w:tr>
    </w:tbl>
    <w:p>
      <w:pPr>
        <w:ind w:firstLine="420" w:firstLineChars="200"/>
      </w:pPr>
    </w:p>
    <w:p>
      <w:pPr>
        <w:spacing w:line="560" w:lineRule="exact"/>
        <w:jc w:val="center"/>
        <w:rPr>
          <w:rFonts w:hint="eastAsia" w:ascii="黑体" w:eastAsia="黑体"/>
          <w:sz w:val="32"/>
          <w:szCs w:val="32"/>
          <w:lang w:val="zh-CN" w:eastAsia="zh-CN"/>
        </w:rPr>
      </w:pPr>
      <w:r>
        <w:br w:type="page"/>
      </w:r>
      <w:r>
        <w:rPr>
          <w:rFonts w:hint="eastAsia" w:ascii="黑体" w:eastAsia="黑体"/>
          <w:sz w:val="32"/>
          <w:szCs w:val="32"/>
          <w:lang w:val="en-US" w:eastAsia="zh-CN"/>
        </w:rPr>
        <w:t>郸城县</w:t>
      </w:r>
      <w:r>
        <w:rPr>
          <w:rFonts w:hint="eastAsia" w:ascii="黑体" w:eastAsia="黑体"/>
          <w:sz w:val="32"/>
          <w:szCs w:val="32"/>
          <w:lang w:val="zh-CN" w:eastAsia="zh-CN"/>
        </w:rPr>
        <w:t>商务局责任清单</w:t>
      </w:r>
    </w:p>
    <w:p>
      <w:pPr>
        <w:spacing w:line="560" w:lineRule="exact"/>
        <w:ind w:firstLine="440" w:firstLineChars="200"/>
        <w:rPr>
          <w:rFonts w:hint="eastAsia" w:ascii="仿宋_GB2312" w:hAnsi="黑体" w:eastAsia="仿宋_GB2312" w:cs="宋体"/>
          <w:sz w:val="22"/>
        </w:rPr>
      </w:pPr>
      <w:r>
        <w:rPr>
          <w:rFonts w:hint="eastAsia" w:ascii="仿宋_GB2312" w:hAnsi="黑体" w:eastAsia="仿宋_GB2312" w:cs="宋体"/>
          <w:sz w:val="22"/>
        </w:rPr>
        <w:t>职权类别：其他职权</w:t>
      </w:r>
    </w:p>
    <w:tbl>
      <w:tblPr>
        <w:tblStyle w:val="6"/>
        <w:tblW w:w="14174"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18"/>
        <w:gridCol w:w="1199"/>
        <w:gridCol w:w="3135"/>
        <w:gridCol w:w="1074"/>
        <w:gridCol w:w="3775"/>
        <w:gridCol w:w="1161"/>
        <w:gridCol w:w="849"/>
        <w:gridCol w:w="813"/>
        <w:gridCol w:w="145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8" w:hRule="atLeast"/>
          <w:jc w:val="center"/>
        </w:trPr>
        <w:tc>
          <w:tcPr>
            <w:tcW w:w="718"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序号</w:t>
            </w:r>
          </w:p>
        </w:tc>
        <w:tc>
          <w:tcPr>
            <w:tcW w:w="119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职权名称</w:t>
            </w:r>
          </w:p>
        </w:tc>
        <w:tc>
          <w:tcPr>
            <w:tcW w:w="313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实施依据</w:t>
            </w:r>
          </w:p>
        </w:tc>
        <w:tc>
          <w:tcPr>
            <w:tcW w:w="1074"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办理</w:t>
            </w:r>
          </w:p>
          <w:p>
            <w:pPr>
              <w:spacing w:line="360" w:lineRule="exact"/>
              <w:jc w:val="center"/>
              <w:rPr>
                <w:rFonts w:hint="eastAsia" w:ascii="黑体" w:hAnsi="黑体" w:eastAsia="黑体" w:cs="黑体"/>
                <w:sz w:val="22"/>
              </w:rPr>
            </w:pPr>
            <w:r>
              <w:rPr>
                <w:rFonts w:hint="eastAsia" w:ascii="黑体" w:hAnsi="黑体" w:eastAsia="黑体" w:cs="黑体"/>
                <w:sz w:val="22"/>
              </w:rPr>
              <w:t>环节</w:t>
            </w:r>
          </w:p>
        </w:tc>
        <w:tc>
          <w:tcPr>
            <w:tcW w:w="377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责任事项</w:t>
            </w:r>
          </w:p>
        </w:tc>
        <w:tc>
          <w:tcPr>
            <w:tcW w:w="1161"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w:t>
            </w:r>
            <w:r>
              <w:rPr>
                <w:rFonts w:hint="eastAsia" w:ascii="黑体" w:hAnsi="黑体" w:eastAsia="黑体" w:cs="黑体"/>
                <w:sz w:val="22"/>
                <w:lang w:val="en-US" w:eastAsia="zh-CN"/>
              </w:rPr>
              <w:t>股室</w:t>
            </w:r>
          </w:p>
        </w:tc>
        <w:tc>
          <w:tcPr>
            <w:tcW w:w="84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承诺时限</w:t>
            </w:r>
          </w:p>
        </w:tc>
        <w:tc>
          <w:tcPr>
            <w:tcW w:w="813"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法定时限</w:t>
            </w:r>
          </w:p>
        </w:tc>
        <w:tc>
          <w:tcPr>
            <w:tcW w:w="1450"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restart"/>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66</w:t>
            </w:r>
          </w:p>
        </w:tc>
        <w:tc>
          <w:tcPr>
            <w:tcW w:w="1199" w:type="dxa"/>
            <w:vMerge w:val="restart"/>
            <w:vAlign w:val="center"/>
          </w:tcPr>
          <w:p>
            <w:pPr>
              <w:rPr>
                <w:rFonts w:hint="eastAsia" w:ascii="仿宋_GB2312" w:hAnsi="黑体" w:eastAsia="仿宋_GB2312" w:cs="宋体"/>
                <w:spacing w:val="-20"/>
                <w:sz w:val="22"/>
              </w:rPr>
            </w:pPr>
            <w:r>
              <w:rPr>
                <w:rFonts w:hint="eastAsia"/>
                <w:sz w:val="22"/>
                <w:szCs w:val="22"/>
              </w:rPr>
              <w:t>报废汽车回收拆解企业备案初审转报</w:t>
            </w:r>
          </w:p>
        </w:tc>
        <w:tc>
          <w:tcPr>
            <w:tcW w:w="3135" w:type="dxa"/>
            <w:vMerge w:val="restart"/>
            <w:vAlign w:val="center"/>
          </w:tcPr>
          <w:p>
            <w:pPr>
              <w:keepNext w:val="0"/>
              <w:keepLines w:val="0"/>
              <w:pageBreakBefore w:val="0"/>
              <w:widowControl w:val="0"/>
              <w:kinsoku/>
              <w:wordWrap/>
              <w:overflowPunct/>
              <w:topLinePunct w:val="0"/>
              <w:autoSpaceDE/>
              <w:autoSpaceDN/>
              <w:bidi w:val="0"/>
              <w:adjustRightInd/>
              <w:snapToGrid/>
              <w:spacing w:line="260" w:lineRule="exact"/>
              <w:ind w:left="0" w:leftChars="0" w:right="0" w:rightChars="0" w:firstLine="0" w:firstLineChars="0"/>
              <w:jc w:val="left"/>
              <w:textAlignment w:val="auto"/>
              <w:outlineLvl w:val="9"/>
              <w:rPr>
                <w:rFonts w:hint="eastAsia" w:ascii="仿宋_GB2312" w:hAnsi="黑体" w:eastAsia="仿宋_GB2312" w:cs="宋体"/>
                <w:spacing w:val="-20"/>
                <w:sz w:val="18"/>
                <w:szCs w:val="18"/>
              </w:rPr>
            </w:pPr>
            <w:r>
              <w:rPr>
                <w:rFonts w:hint="eastAsia"/>
                <w:sz w:val="18"/>
                <w:szCs w:val="18"/>
              </w:rPr>
              <w:t xml:space="preserve">    </w:t>
            </w:r>
            <w:r>
              <w:rPr>
                <w:rFonts w:hint="eastAsia"/>
                <w:sz w:val="20"/>
                <w:szCs w:val="20"/>
              </w:rPr>
              <w:t>《报废汽车回收管理办法》（国务院令第307号）第六条第一款：“国家对报废汽车回收实行特种行业管理，对报废汽车回收企业实行资格认定制度》。”第八条第一款：“拟从事报废汽车回收业务的，应当向省、自治区、直辖市人民政府经济贸易管理部门提出申请。省、自治区、直辖市人民政府经济贸易管理部门应当自收到申请之日起30个工作日内，按照本办法第七条规定的条件对申请审核完毕；特殊情况下，可以适当延长，但延长的时间不得超过30个工作日。经审核符合条件的，颁发《资格认定书》；不符合条件的，驳回申请并说明理由。”</w:t>
            </w: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仿宋_GB2312" w:hAnsi="仿宋_GB2312" w:eastAsia="仿宋_GB2312"/>
                <w:spacing w:val="-20"/>
                <w:sz w:val="20"/>
                <w:szCs w:val="20"/>
              </w:rPr>
              <w:t>受理</w:t>
            </w:r>
          </w:p>
        </w:tc>
        <w:tc>
          <w:tcPr>
            <w:tcW w:w="3775" w:type="dxa"/>
            <w:vAlign w:val="center"/>
          </w:tcPr>
          <w:p>
            <w:pPr>
              <w:autoSpaceDE w:val="0"/>
              <w:autoSpaceDN w:val="0"/>
              <w:spacing w:line="240" w:lineRule="exact"/>
              <w:rPr>
                <w:rFonts w:hint="eastAsia" w:ascii="仿宋_GB2312" w:hAnsi="黑体" w:eastAsia="仿宋_GB2312" w:cs="宋体"/>
                <w:sz w:val="22"/>
              </w:rPr>
            </w:pPr>
            <w:r>
              <w:rPr>
                <w:rFonts w:hint="eastAsia"/>
                <w:color w:val="000000"/>
                <w:sz w:val="20"/>
                <w:szCs w:val="20"/>
              </w:rPr>
              <w:t>1.受理阶段责任：公示依法应当提交的材料；一次性告知补正材料；依法受理或不予受理（不予受理的告知理由）。</w:t>
            </w:r>
          </w:p>
        </w:tc>
        <w:tc>
          <w:tcPr>
            <w:tcW w:w="1161" w:type="dxa"/>
            <w:textDirection w:val="lrTb"/>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rPr>
              <w:t>市场体系建设</w:t>
            </w:r>
            <w:r>
              <w:rPr>
                <w:rFonts w:hint="eastAsia" w:ascii="仿宋_GB2312" w:hAnsi="黑体" w:eastAsia="仿宋_GB2312" w:cs="宋体"/>
                <w:sz w:val="18"/>
                <w:szCs w:val="18"/>
                <w:lang w:val="en-US" w:eastAsia="zh-CN"/>
              </w:rPr>
              <w:t>股</w:t>
            </w:r>
            <w:r>
              <w:rPr>
                <w:rFonts w:hint="eastAsia" w:ascii="仿宋_GB2312" w:hAnsi="黑体" w:eastAsia="仿宋_GB2312" w:cs="宋体"/>
                <w:sz w:val="18"/>
                <w:szCs w:val="18"/>
                <w:lang w:eastAsia="zh-CN"/>
              </w:rPr>
              <w:t>，</w:t>
            </w:r>
            <w:r>
              <w:rPr>
                <w:rFonts w:hint="eastAsia" w:ascii="仿宋_GB2312" w:hAnsi="黑体" w:eastAsia="仿宋_GB2312" w:cs="宋体"/>
                <w:sz w:val="18"/>
                <w:szCs w:val="18"/>
              </w:rPr>
              <w:t>商务稽查</w:t>
            </w:r>
            <w:r>
              <w:rPr>
                <w:rFonts w:hint="eastAsia" w:ascii="仿宋_GB2312" w:hAnsi="黑体" w:eastAsia="仿宋_GB2312" w:cs="宋体"/>
                <w:sz w:val="18"/>
                <w:szCs w:val="18"/>
                <w:lang w:val="en-US" w:eastAsia="zh-CN"/>
              </w:rPr>
              <w:t>大</w:t>
            </w:r>
            <w:r>
              <w:rPr>
                <w:rFonts w:hint="eastAsia" w:ascii="仿宋_GB2312" w:hAnsi="黑体" w:eastAsia="仿宋_GB2312" w:cs="宋体"/>
                <w:sz w:val="18"/>
                <w:szCs w:val="18"/>
              </w:rPr>
              <w:t>队</w:t>
            </w:r>
          </w:p>
        </w:tc>
        <w:tc>
          <w:tcPr>
            <w:tcW w:w="849"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1</w:t>
            </w:r>
          </w:p>
        </w:tc>
        <w:tc>
          <w:tcPr>
            <w:tcW w:w="813" w:type="dxa"/>
            <w:vMerge w:val="restart"/>
            <w:vAlign w:val="center"/>
          </w:tcPr>
          <w:p>
            <w:pPr>
              <w:spacing w:line="560" w:lineRule="exact"/>
              <w:jc w:val="center"/>
              <w:rPr>
                <w:rFonts w:hint="eastAsia" w:ascii="仿宋_GB2312" w:hAnsi="黑体" w:eastAsia="仿宋_GB2312" w:cs="宋体"/>
                <w:sz w:val="22"/>
              </w:rPr>
            </w:pPr>
          </w:p>
        </w:tc>
        <w:tc>
          <w:tcPr>
            <w:tcW w:w="1450" w:type="dxa"/>
            <w:vMerge w:val="restart"/>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仿宋_GB2312" w:hAnsi="仿宋_GB2312" w:eastAsia="仿宋_GB2312"/>
                <w:spacing w:val="-20"/>
                <w:sz w:val="20"/>
                <w:szCs w:val="20"/>
              </w:rPr>
              <w:t>审查</w:t>
            </w:r>
          </w:p>
        </w:tc>
        <w:tc>
          <w:tcPr>
            <w:tcW w:w="3775" w:type="dxa"/>
            <w:vAlign w:val="center"/>
          </w:tcPr>
          <w:p>
            <w:pPr>
              <w:autoSpaceDE w:val="0"/>
              <w:autoSpaceDN w:val="0"/>
              <w:spacing w:line="240" w:lineRule="exact"/>
              <w:rPr>
                <w:rFonts w:hint="eastAsia" w:ascii="仿宋_GB2312" w:hAnsi="仿宋_GB2312" w:eastAsia="仿宋_GB2312"/>
                <w:spacing w:val="-20"/>
                <w:sz w:val="20"/>
                <w:szCs w:val="20"/>
              </w:rPr>
            </w:pPr>
            <w:r>
              <w:rPr>
                <w:rFonts w:hint="eastAsia"/>
                <w:color w:val="000000"/>
                <w:sz w:val="20"/>
                <w:szCs w:val="20"/>
              </w:rPr>
              <w:t>2.审查阶段责任：材料审核；提出初审意见后报省商务厅审核。</w:t>
            </w:r>
          </w:p>
        </w:tc>
        <w:tc>
          <w:tcPr>
            <w:tcW w:w="1161" w:type="dxa"/>
            <w:textDirection w:val="lrTb"/>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rPr>
              <w:t>市场体系建设</w:t>
            </w:r>
            <w:r>
              <w:rPr>
                <w:rFonts w:hint="eastAsia" w:ascii="仿宋_GB2312" w:hAnsi="黑体" w:eastAsia="仿宋_GB2312" w:cs="宋体"/>
                <w:sz w:val="18"/>
                <w:szCs w:val="18"/>
                <w:lang w:val="en-US" w:eastAsia="zh-CN"/>
              </w:rPr>
              <w:t>股</w:t>
            </w:r>
            <w:r>
              <w:rPr>
                <w:rFonts w:hint="eastAsia" w:ascii="仿宋_GB2312" w:hAnsi="黑体" w:eastAsia="仿宋_GB2312" w:cs="宋体"/>
                <w:sz w:val="18"/>
                <w:szCs w:val="18"/>
                <w:lang w:eastAsia="zh-CN"/>
              </w:rPr>
              <w:t>，</w:t>
            </w:r>
            <w:r>
              <w:rPr>
                <w:rFonts w:hint="eastAsia" w:ascii="仿宋_GB2312" w:hAnsi="黑体" w:eastAsia="仿宋_GB2312" w:cs="宋体"/>
                <w:sz w:val="18"/>
                <w:szCs w:val="18"/>
              </w:rPr>
              <w:t>商务稽查</w:t>
            </w:r>
            <w:r>
              <w:rPr>
                <w:rFonts w:hint="eastAsia" w:ascii="仿宋_GB2312" w:hAnsi="黑体" w:eastAsia="仿宋_GB2312" w:cs="宋体"/>
                <w:sz w:val="18"/>
                <w:szCs w:val="18"/>
                <w:lang w:val="en-US" w:eastAsia="zh-CN"/>
              </w:rPr>
              <w:t>大</w:t>
            </w:r>
            <w:r>
              <w:rPr>
                <w:rFonts w:hint="eastAsia" w:ascii="仿宋_GB2312" w:hAnsi="黑体" w:eastAsia="仿宋_GB2312" w:cs="宋体"/>
                <w:sz w:val="18"/>
                <w:szCs w:val="18"/>
              </w:rPr>
              <w:t>队</w:t>
            </w:r>
          </w:p>
        </w:tc>
        <w:tc>
          <w:tcPr>
            <w:tcW w:w="849" w:type="dxa"/>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7</w:t>
            </w:r>
          </w:p>
        </w:tc>
        <w:tc>
          <w:tcPr>
            <w:tcW w:w="813" w:type="dxa"/>
            <w:vMerge w:val="continue"/>
            <w:vAlign w:val="center"/>
          </w:tcPr>
          <w:p>
            <w:pPr>
              <w:spacing w:line="560" w:lineRule="exact"/>
              <w:jc w:val="center"/>
              <w:rPr>
                <w:rFonts w:hint="eastAsia" w:ascii="仿宋_GB2312" w:hAnsi="黑体" w:eastAsia="仿宋_GB2312" w:cs="宋体"/>
                <w:sz w:val="22"/>
              </w:rPr>
            </w:pPr>
          </w:p>
        </w:tc>
        <w:tc>
          <w:tcPr>
            <w:tcW w:w="1450"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仿宋_GB2312" w:hAnsi="仿宋_GB2312" w:eastAsia="仿宋_GB2312"/>
                <w:spacing w:val="-20"/>
                <w:sz w:val="20"/>
                <w:szCs w:val="20"/>
              </w:rPr>
              <w:t>决定</w:t>
            </w:r>
          </w:p>
        </w:tc>
        <w:tc>
          <w:tcPr>
            <w:tcW w:w="3775" w:type="dxa"/>
            <w:vAlign w:val="center"/>
          </w:tcPr>
          <w:p>
            <w:pPr>
              <w:autoSpaceDE w:val="0"/>
              <w:autoSpaceDN w:val="0"/>
              <w:spacing w:line="240" w:lineRule="exact"/>
              <w:rPr>
                <w:rFonts w:hint="eastAsia" w:ascii="仿宋_GB2312" w:hAnsi="仿宋_GB2312" w:eastAsia="仿宋_GB2312"/>
                <w:spacing w:val="-20"/>
                <w:sz w:val="20"/>
                <w:szCs w:val="20"/>
              </w:rPr>
            </w:pPr>
            <w:r>
              <w:rPr>
                <w:rFonts w:hint="eastAsia"/>
                <w:color w:val="000000"/>
                <w:sz w:val="20"/>
                <w:szCs w:val="20"/>
              </w:rPr>
              <w:t>3.决定阶段责任：作出</w:t>
            </w:r>
            <w:r>
              <w:rPr>
                <w:rFonts w:hint="eastAsia"/>
                <w:color w:val="000000"/>
                <w:sz w:val="20"/>
                <w:szCs w:val="20"/>
                <w:lang w:eastAsia="zh-CN"/>
              </w:rPr>
              <w:t>初审</w:t>
            </w:r>
            <w:r>
              <w:rPr>
                <w:rFonts w:hint="eastAsia"/>
                <w:color w:val="000000"/>
                <w:sz w:val="20"/>
                <w:szCs w:val="20"/>
              </w:rPr>
              <w:t>批准或者不批准的决定（不批准的告知理由）；按时办结；法定告知。</w:t>
            </w:r>
          </w:p>
        </w:tc>
        <w:tc>
          <w:tcPr>
            <w:tcW w:w="1161" w:type="dxa"/>
            <w:textDirection w:val="lrTb"/>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rPr>
              <w:t>市场体系建设</w:t>
            </w:r>
            <w:r>
              <w:rPr>
                <w:rFonts w:hint="eastAsia" w:ascii="仿宋_GB2312" w:hAnsi="黑体" w:eastAsia="仿宋_GB2312" w:cs="宋体"/>
                <w:sz w:val="18"/>
                <w:szCs w:val="18"/>
                <w:lang w:val="en-US" w:eastAsia="zh-CN"/>
              </w:rPr>
              <w:t>股</w:t>
            </w:r>
            <w:r>
              <w:rPr>
                <w:rFonts w:hint="eastAsia" w:ascii="仿宋_GB2312" w:hAnsi="黑体" w:eastAsia="仿宋_GB2312" w:cs="宋体"/>
                <w:sz w:val="18"/>
                <w:szCs w:val="18"/>
                <w:lang w:eastAsia="zh-CN"/>
              </w:rPr>
              <w:t>，</w:t>
            </w:r>
            <w:r>
              <w:rPr>
                <w:rFonts w:hint="eastAsia" w:ascii="仿宋_GB2312" w:hAnsi="黑体" w:eastAsia="仿宋_GB2312" w:cs="宋体"/>
                <w:sz w:val="18"/>
                <w:szCs w:val="18"/>
              </w:rPr>
              <w:t>商务稽查</w:t>
            </w:r>
            <w:r>
              <w:rPr>
                <w:rFonts w:hint="eastAsia" w:ascii="仿宋_GB2312" w:hAnsi="黑体" w:eastAsia="仿宋_GB2312" w:cs="宋体"/>
                <w:sz w:val="18"/>
                <w:szCs w:val="18"/>
                <w:lang w:val="en-US" w:eastAsia="zh-CN"/>
              </w:rPr>
              <w:t>大</w:t>
            </w:r>
            <w:r>
              <w:rPr>
                <w:rFonts w:hint="eastAsia" w:ascii="仿宋_GB2312" w:hAnsi="黑体" w:eastAsia="仿宋_GB2312" w:cs="宋体"/>
                <w:sz w:val="18"/>
                <w:szCs w:val="18"/>
              </w:rPr>
              <w:t>队</w:t>
            </w:r>
          </w:p>
        </w:tc>
        <w:tc>
          <w:tcPr>
            <w:tcW w:w="849" w:type="dxa"/>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5</w:t>
            </w:r>
          </w:p>
        </w:tc>
        <w:tc>
          <w:tcPr>
            <w:tcW w:w="813" w:type="dxa"/>
            <w:vMerge w:val="continue"/>
            <w:vAlign w:val="center"/>
          </w:tcPr>
          <w:p>
            <w:pPr>
              <w:spacing w:line="560" w:lineRule="exact"/>
              <w:jc w:val="center"/>
              <w:rPr>
                <w:rFonts w:hint="eastAsia" w:ascii="仿宋_GB2312" w:hAnsi="黑体" w:eastAsia="仿宋_GB2312" w:cs="宋体"/>
                <w:sz w:val="22"/>
              </w:rPr>
            </w:pPr>
          </w:p>
        </w:tc>
        <w:tc>
          <w:tcPr>
            <w:tcW w:w="1450"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仿宋_GB2312" w:hAnsi="仿宋_GB2312" w:eastAsia="仿宋_GB2312"/>
                <w:spacing w:val="-20"/>
                <w:sz w:val="20"/>
                <w:szCs w:val="20"/>
              </w:rPr>
              <w:t>送达</w:t>
            </w:r>
          </w:p>
        </w:tc>
        <w:tc>
          <w:tcPr>
            <w:tcW w:w="3775" w:type="dxa"/>
            <w:vAlign w:val="center"/>
          </w:tcPr>
          <w:p>
            <w:pPr>
              <w:autoSpaceDE w:val="0"/>
              <w:autoSpaceDN w:val="0"/>
              <w:spacing w:line="240" w:lineRule="exact"/>
              <w:rPr>
                <w:rFonts w:hint="eastAsia" w:ascii="仿宋_GB2312" w:hAnsi="仿宋_GB2312" w:eastAsia="仿宋_GB2312"/>
                <w:spacing w:val="-20"/>
                <w:sz w:val="20"/>
                <w:szCs w:val="20"/>
              </w:rPr>
            </w:pPr>
            <w:r>
              <w:rPr>
                <w:rFonts w:hint="eastAsia"/>
                <w:color w:val="000000"/>
                <w:sz w:val="20"/>
                <w:szCs w:val="20"/>
              </w:rPr>
              <w:t>4.送达阶段责任：送达</w:t>
            </w:r>
            <w:r>
              <w:rPr>
                <w:rFonts w:hint="eastAsia"/>
                <w:color w:val="000000"/>
                <w:sz w:val="20"/>
                <w:szCs w:val="20"/>
                <w:lang w:eastAsia="zh-CN"/>
              </w:rPr>
              <w:t>省商务厅</w:t>
            </w:r>
            <w:r>
              <w:rPr>
                <w:rFonts w:hint="eastAsia"/>
                <w:color w:val="000000"/>
                <w:sz w:val="20"/>
                <w:szCs w:val="20"/>
              </w:rPr>
              <w:t>；信息公开。</w:t>
            </w:r>
          </w:p>
        </w:tc>
        <w:tc>
          <w:tcPr>
            <w:tcW w:w="1161" w:type="dxa"/>
            <w:textDirection w:val="lrTb"/>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rPr>
              <w:t>市场体系建设</w:t>
            </w:r>
            <w:r>
              <w:rPr>
                <w:rFonts w:hint="eastAsia" w:ascii="仿宋_GB2312" w:hAnsi="黑体" w:eastAsia="仿宋_GB2312" w:cs="宋体"/>
                <w:sz w:val="18"/>
                <w:szCs w:val="18"/>
                <w:lang w:val="en-US" w:eastAsia="zh-CN"/>
              </w:rPr>
              <w:t>股</w:t>
            </w:r>
            <w:r>
              <w:rPr>
                <w:rFonts w:hint="eastAsia" w:ascii="仿宋_GB2312" w:hAnsi="黑体" w:eastAsia="仿宋_GB2312" w:cs="宋体"/>
                <w:sz w:val="18"/>
                <w:szCs w:val="18"/>
                <w:lang w:eastAsia="zh-CN"/>
              </w:rPr>
              <w:t>，</w:t>
            </w:r>
            <w:r>
              <w:rPr>
                <w:rFonts w:hint="eastAsia" w:ascii="仿宋_GB2312" w:hAnsi="黑体" w:eastAsia="仿宋_GB2312" w:cs="宋体"/>
                <w:sz w:val="18"/>
                <w:szCs w:val="18"/>
              </w:rPr>
              <w:t>商务稽查</w:t>
            </w:r>
            <w:r>
              <w:rPr>
                <w:rFonts w:hint="eastAsia" w:ascii="仿宋_GB2312" w:hAnsi="黑体" w:eastAsia="仿宋_GB2312" w:cs="宋体"/>
                <w:sz w:val="18"/>
                <w:szCs w:val="18"/>
                <w:lang w:val="en-US" w:eastAsia="zh-CN"/>
              </w:rPr>
              <w:t>大</w:t>
            </w:r>
            <w:r>
              <w:rPr>
                <w:rFonts w:hint="eastAsia" w:ascii="仿宋_GB2312" w:hAnsi="黑体" w:eastAsia="仿宋_GB2312" w:cs="宋体"/>
                <w:sz w:val="18"/>
                <w:szCs w:val="18"/>
              </w:rPr>
              <w:t>队</w:t>
            </w:r>
          </w:p>
        </w:tc>
        <w:tc>
          <w:tcPr>
            <w:tcW w:w="849" w:type="dxa"/>
            <w:vAlign w:val="center"/>
          </w:tcPr>
          <w:p>
            <w:pPr>
              <w:spacing w:line="560" w:lineRule="exact"/>
              <w:jc w:val="center"/>
              <w:rPr>
                <w:rFonts w:hint="eastAsia" w:ascii="仿宋_GB2312" w:hAnsi="黑体" w:eastAsia="仿宋_GB2312" w:cs="宋体"/>
                <w:sz w:val="22"/>
                <w:lang w:eastAsia="zh-CN"/>
              </w:rPr>
            </w:pPr>
            <w:r>
              <w:rPr>
                <w:rFonts w:hint="eastAsia" w:ascii="仿宋_GB2312" w:hAnsi="黑体" w:eastAsia="仿宋_GB2312" w:cs="宋体"/>
                <w:sz w:val="22"/>
                <w:lang w:val="en-US" w:eastAsia="zh-CN"/>
              </w:rPr>
              <w:t>5</w:t>
            </w:r>
          </w:p>
        </w:tc>
        <w:tc>
          <w:tcPr>
            <w:tcW w:w="813" w:type="dxa"/>
            <w:vMerge w:val="continue"/>
            <w:vAlign w:val="center"/>
          </w:tcPr>
          <w:p>
            <w:pPr>
              <w:spacing w:line="560" w:lineRule="exact"/>
              <w:jc w:val="center"/>
              <w:rPr>
                <w:rFonts w:hint="eastAsia" w:ascii="仿宋_GB2312" w:hAnsi="黑体" w:eastAsia="仿宋_GB2312" w:cs="宋体"/>
                <w:sz w:val="22"/>
              </w:rPr>
            </w:pPr>
          </w:p>
        </w:tc>
        <w:tc>
          <w:tcPr>
            <w:tcW w:w="1450"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仿宋_GB2312" w:hAnsi="仿宋_GB2312" w:eastAsia="仿宋_GB2312"/>
                <w:spacing w:val="-20"/>
                <w:sz w:val="20"/>
                <w:szCs w:val="20"/>
              </w:rPr>
              <w:t>事后监管</w:t>
            </w:r>
          </w:p>
        </w:tc>
        <w:tc>
          <w:tcPr>
            <w:tcW w:w="3775" w:type="dxa"/>
            <w:vAlign w:val="center"/>
          </w:tcPr>
          <w:p>
            <w:pPr>
              <w:autoSpaceDE w:val="0"/>
              <w:autoSpaceDN w:val="0"/>
              <w:spacing w:line="240" w:lineRule="exact"/>
              <w:rPr>
                <w:rFonts w:hint="eastAsia" w:ascii="仿宋_GB2312" w:hAnsi="仿宋_GB2312" w:eastAsia="仿宋_GB2312"/>
                <w:spacing w:val="-20"/>
                <w:sz w:val="20"/>
                <w:szCs w:val="20"/>
              </w:rPr>
            </w:pPr>
            <w:r>
              <w:rPr>
                <w:rFonts w:hint="eastAsia"/>
                <w:color w:val="000000"/>
                <w:sz w:val="20"/>
                <w:szCs w:val="20"/>
              </w:rPr>
              <w:t>5.事后监管责任：开展定期和不定期检查，根据检查情况，做出资质注销等决定。</w:t>
            </w:r>
          </w:p>
        </w:tc>
        <w:tc>
          <w:tcPr>
            <w:tcW w:w="1161" w:type="dxa"/>
            <w:textDirection w:val="lrTb"/>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rPr>
              <w:t>市场体系建设</w:t>
            </w:r>
            <w:r>
              <w:rPr>
                <w:rFonts w:hint="eastAsia" w:ascii="仿宋_GB2312" w:hAnsi="黑体" w:eastAsia="仿宋_GB2312" w:cs="宋体"/>
                <w:sz w:val="18"/>
                <w:szCs w:val="18"/>
                <w:lang w:val="en-US" w:eastAsia="zh-CN"/>
              </w:rPr>
              <w:t>股</w:t>
            </w:r>
            <w:r>
              <w:rPr>
                <w:rFonts w:hint="eastAsia" w:ascii="仿宋_GB2312" w:hAnsi="黑体" w:eastAsia="仿宋_GB2312" w:cs="宋体"/>
                <w:sz w:val="18"/>
                <w:szCs w:val="18"/>
                <w:lang w:eastAsia="zh-CN"/>
              </w:rPr>
              <w:t>，</w:t>
            </w:r>
            <w:r>
              <w:rPr>
                <w:rFonts w:hint="eastAsia" w:ascii="仿宋_GB2312" w:hAnsi="黑体" w:eastAsia="仿宋_GB2312" w:cs="宋体"/>
                <w:sz w:val="18"/>
                <w:szCs w:val="18"/>
              </w:rPr>
              <w:t>商务稽查</w:t>
            </w:r>
            <w:r>
              <w:rPr>
                <w:rFonts w:hint="eastAsia" w:ascii="仿宋_GB2312" w:hAnsi="黑体" w:eastAsia="仿宋_GB2312" w:cs="宋体"/>
                <w:sz w:val="18"/>
                <w:szCs w:val="18"/>
                <w:lang w:val="en-US" w:eastAsia="zh-CN"/>
              </w:rPr>
              <w:t>大</w:t>
            </w:r>
            <w:r>
              <w:rPr>
                <w:rFonts w:hint="eastAsia" w:ascii="仿宋_GB2312" w:hAnsi="黑体" w:eastAsia="仿宋_GB2312" w:cs="宋体"/>
                <w:sz w:val="18"/>
                <w:szCs w:val="18"/>
              </w:rPr>
              <w:t>队</w:t>
            </w:r>
          </w:p>
        </w:tc>
        <w:tc>
          <w:tcPr>
            <w:tcW w:w="849" w:type="dxa"/>
            <w:vAlign w:val="center"/>
          </w:tcPr>
          <w:p>
            <w:pPr>
              <w:spacing w:line="560" w:lineRule="exact"/>
              <w:jc w:val="center"/>
              <w:rPr>
                <w:rFonts w:hint="eastAsia" w:ascii="仿宋_GB2312" w:hAnsi="黑体" w:eastAsia="仿宋_GB2312" w:cs="宋体"/>
                <w:sz w:val="22"/>
              </w:rPr>
            </w:pPr>
          </w:p>
        </w:tc>
        <w:tc>
          <w:tcPr>
            <w:tcW w:w="813" w:type="dxa"/>
            <w:vMerge w:val="continue"/>
            <w:vAlign w:val="center"/>
          </w:tcPr>
          <w:p>
            <w:pPr>
              <w:spacing w:line="560" w:lineRule="exact"/>
              <w:jc w:val="center"/>
              <w:rPr>
                <w:rFonts w:hint="eastAsia" w:ascii="仿宋_GB2312" w:hAnsi="黑体" w:eastAsia="仿宋_GB2312" w:cs="宋体"/>
                <w:sz w:val="22"/>
              </w:rPr>
            </w:pPr>
          </w:p>
        </w:tc>
        <w:tc>
          <w:tcPr>
            <w:tcW w:w="1450"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p>
        </w:tc>
        <w:tc>
          <w:tcPr>
            <w:tcW w:w="3775" w:type="dxa"/>
            <w:vAlign w:val="center"/>
          </w:tcPr>
          <w:p>
            <w:pPr>
              <w:autoSpaceDE w:val="0"/>
              <w:autoSpaceDN w:val="0"/>
              <w:spacing w:line="240" w:lineRule="exact"/>
              <w:rPr>
                <w:rFonts w:hint="eastAsia" w:ascii="仿宋_GB2312" w:hAnsi="仿宋_GB2312" w:eastAsia="仿宋_GB2312"/>
                <w:spacing w:val="-20"/>
                <w:sz w:val="20"/>
                <w:szCs w:val="20"/>
              </w:rPr>
            </w:pPr>
            <w:r>
              <w:rPr>
                <w:rFonts w:hint="eastAsia"/>
                <w:color w:val="000000"/>
                <w:sz w:val="20"/>
                <w:szCs w:val="20"/>
              </w:rPr>
              <w:t>6.其他法律法规规章文件规定应履行的责任。</w:t>
            </w:r>
          </w:p>
        </w:tc>
        <w:tc>
          <w:tcPr>
            <w:tcW w:w="1161" w:type="dxa"/>
            <w:textDirection w:val="lrTb"/>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rPr>
              <w:t>市场体系建设</w:t>
            </w:r>
            <w:r>
              <w:rPr>
                <w:rFonts w:hint="eastAsia" w:ascii="仿宋_GB2312" w:hAnsi="黑体" w:eastAsia="仿宋_GB2312" w:cs="宋体"/>
                <w:sz w:val="18"/>
                <w:szCs w:val="18"/>
                <w:lang w:val="en-US" w:eastAsia="zh-CN"/>
              </w:rPr>
              <w:t>股</w:t>
            </w:r>
            <w:r>
              <w:rPr>
                <w:rFonts w:hint="eastAsia" w:ascii="仿宋_GB2312" w:hAnsi="黑体" w:eastAsia="仿宋_GB2312" w:cs="宋体"/>
                <w:sz w:val="18"/>
                <w:szCs w:val="18"/>
                <w:lang w:eastAsia="zh-CN"/>
              </w:rPr>
              <w:t>，</w:t>
            </w:r>
            <w:r>
              <w:rPr>
                <w:rFonts w:hint="eastAsia" w:ascii="仿宋_GB2312" w:hAnsi="黑体" w:eastAsia="仿宋_GB2312" w:cs="宋体"/>
                <w:sz w:val="18"/>
                <w:szCs w:val="18"/>
              </w:rPr>
              <w:t>商务稽查</w:t>
            </w:r>
            <w:r>
              <w:rPr>
                <w:rFonts w:hint="eastAsia" w:ascii="仿宋_GB2312" w:hAnsi="黑体" w:eastAsia="仿宋_GB2312" w:cs="宋体"/>
                <w:sz w:val="18"/>
                <w:szCs w:val="18"/>
                <w:lang w:val="en-US" w:eastAsia="zh-CN"/>
              </w:rPr>
              <w:t>大</w:t>
            </w:r>
            <w:r>
              <w:rPr>
                <w:rFonts w:hint="eastAsia" w:ascii="仿宋_GB2312" w:hAnsi="黑体" w:eastAsia="仿宋_GB2312" w:cs="宋体"/>
                <w:sz w:val="18"/>
                <w:szCs w:val="18"/>
              </w:rPr>
              <w:t>队</w:t>
            </w:r>
          </w:p>
        </w:tc>
        <w:tc>
          <w:tcPr>
            <w:tcW w:w="849" w:type="dxa"/>
            <w:vAlign w:val="center"/>
          </w:tcPr>
          <w:p>
            <w:pPr>
              <w:spacing w:line="560" w:lineRule="exact"/>
              <w:jc w:val="center"/>
              <w:rPr>
                <w:rFonts w:hint="eastAsia" w:ascii="仿宋_GB2312" w:hAnsi="黑体" w:eastAsia="仿宋_GB2312" w:cs="宋体"/>
                <w:sz w:val="22"/>
              </w:rPr>
            </w:pPr>
          </w:p>
        </w:tc>
        <w:tc>
          <w:tcPr>
            <w:tcW w:w="813" w:type="dxa"/>
            <w:vMerge w:val="continue"/>
            <w:vAlign w:val="center"/>
          </w:tcPr>
          <w:p>
            <w:pPr>
              <w:spacing w:line="560" w:lineRule="exact"/>
              <w:jc w:val="center"/>
              <w:rPr>
                <w:rFonts w:hint="eastAsia" w:ascii="仿宋_GB2312" w:hAnsi="黑体" w:eastAsia="仿宋_GB2312" w:cs="宋体"/>
                <w:sz w:val="22"/>
              </w:rPr>
            </w:pPr>
          </w:p>
        </w:tc>
        <w:tc>
          <w:tcPr>
            <w:tcW w:w="1450"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12" w:hRule="atLeast"/>
          <w:jc w:val="center"/>
        </w:trPr>
        <w:tc>
          <w:tcPr>
            <w:tcW w:w="14174" w:type="dxa"/>
            <w:gridSpan w:val="9"/>
            <w:textDirection w:val="lrTb"/>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服务电话：</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投诉机构：</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商务举报投诉服务站</w:t>
            </w:r>
            <w:r>
              <w:rPr>
                <w:rFonts w:hint="eastAsia" w:ascii="仿宋_GB2312" w:hAnsi="黑体" w:eastAsia="仿宋_GB2312" w:cs="宋体"/>
                <w:sz w:val="22"/>
              </w:rPr>
              <w:t xml:space="preserve">      投诉电话：0394-</w:t>
            </w:r>
            <w:r>
              <w:rPr>
                <w:rFonts w:hint="eastAsia" w:ascii="仿宋_GB2312" w:hAnsi="黑体" w:eastAsia="仿宋_GB2312" w:cs="宋体"/>
                <w:sz w:val="22"/>
                <w:lang w:val="en-US" w:eastAsia="zh-CN"/>
              </w:rPr>
              <w:t>3229596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12" w:hRule="atLeast"/>
          <w:jc w:val="center"/>
        </w:trPr>
        <w:tc>
          <w:tcPr>
            <w:tcW w:w="14174" w:type="dxa"/>
            <w:gridSpan w:val="9"/>
            <w:textDirection w:val="lrTb"/>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受理地点：</w:t>
            </w:r>
            <w:r>
              <w:rPr>
                <w:rFonts w:hint="eastAsia" w:ascii="仿宋_GB2312" w:hAnsi="黑体" w:eastAsia="仿宋_GB2312" w:cs="宋体"/>
                <w:sz w:val="22"/>
                <w:lang w:val="en-US" w:eastAsia="zh-CN"/>
              </w:rPr>
              <w:t>郸城县世纪大道南段商务局二楼</w:t>
            </w:r>
          </w:p>
        </w:tc>
      </w:tr>
    </w:tbl>
    <w:p>
      <w:pPr>
        <w:ind w:firstLine="420" w:firstLineChars="200"/>
      </w:pPr>
    </w:p>
    <w:p>
      <w:pPr>
        <w:spacing w:line="560" w:lineRule="exact"/>
        <w:jc w:val="center"/>
        <w:rPr>
          <w:rFonts w:hint="eastAsia" w:ascii="黑体" w:eastAsia="黑体"/>
          <w:sz w:val="32"/>
          <w:szCs w:val="32"/>
          <w:lang w:val="zh-CN" w:eastAsia="zh-CN"/>
        </w:rPr>
      </w:pPr>
      <w:r>
        <w:br w:type="page"/>
      </w:r>
      <w:r>
        <w:rPr>
          <w:rFonts w:hint="eastAsia" w:ascii="黑体" w:eastAsia="黑体"/>
          <w:sz w:val="32"/>
          <w:szCs w:val="32"/>
          <w:lang w:val="en-US" w:eastAsia="zh-CN"/>
        </w:rPr>
        <w:t>郸城县</w:t>
      </w:r>
      <w:r>
        <w:rPr>
          <w:rFonts w:hint="eastAsia" w:ascii="黑体" w:eastAsia="黑体"/>
          <w:sz w:val="32"/>
          <w:szCs w:val="32"/>
          <w:lang w:val="zh-CN" w:eastAsia="zh-CN"/>
        </w:rPr>
        <w:t>商务局责任清单</w:t>
      </w:r>
    </w:p>
    <w:p>
      <w:pPr>
        <w:spacing w:line="560" w:lineRule="exact"/>
        <w:ind w:firstLine="440" w:firstLineChars="200"/>
        <w:rPr>
          <w:rFonts w:hint="eastAsia" w:ascii="仿宋_GB2312" w:hAnsi="黑体" w:eastAsia="仿宋_GB2312" w:cs="宋体"/>
          <w:sz w:val="22"/>
        </w:rPr>
      </w:pPr>
      <w:r>
        <w:rPr>
          <w:rFonts w:hint="eastAsia" w:ascii="仿宋_GB2312" w:hAnsi="黑体" w:eastAsia="仿宋_GB2312" w:cs="宋体"/>
          <w:sz w:val="22"/>
        </w:rPr>
        <w:t>职权类别：其他职权</w:t>
      </w:r>
    </w:p>
    <w:tbl>
      <w:tblPr>
        <w:tblStyle w:val="6"/>
        <w:tblW w:w="14174"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18"/>
        <w:gridCol w:w="1199"/>
        <w:gridCol w:w="3135"/>
        <w:gridCol w:w="1074"/>
        <w:gridCol w:w="3775"/>
        <w:gridCol w:w="1161"/>
        <w:gridCol w:w="849"/>
        <w:gridCol w:w="813"/>
        <w:gridCol w:w="145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8" w:hRule="atLeast"/>
          <w:jc w:val="center"/>
        </w:trPr>
        <w:tc>
          <w:tcPr>
            <w:tcW w:w="718"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序号</w:t>
            </w:r>
          </w:p>
        </w:tc>
        <w:tc>
          <w:tcPr>
            <w:tcW w:w="119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职权名称</w:t>
            </w:r>
          </w:p>
        </w:tc>
        <w:tc>
          <w:tcPr>
            <w:tcW w:w="313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实施依据</w:t>
            </w:r>
          </w:p>
        </w:tc>
        <w:tc>
          <w:tcPr>
            <w:tcW w:w="1074"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办理</w:t>
            </w:r>
          </w:p>
          <w:p>
            <w:pPr>
              <w:spacing w:line="360" w:lineRule="exact"/>
              <w:jc w:val="center"/>
              <w:rPr>
                <w:rFonts w:hint="eastAsia" w:ascii="黑体" w:hAnsi="黑体" w:eastAsia="黑体" w:cs="黑体"/>
                <w:sz w:val="22"/>
              </w:rPr>
            </w:pPr>
            <w:r>
              <w:rPr>
                <w:rFonts w:hint="eastAsia" w:ascii="黑体" w:hAnsi="黑体" w:eastAsia="黑体" w:cs="黑体"/>
                <w:sz w:val="22"/>
              </w:rPr>
              <w:t>环节</w:t>
            </w:r>
          </w:p>
        </w:tc>
        <w:tc>
          <w:tcPr>
            <w:tcW w:w="377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责任事项</w:t>
            </w:r>
          </w:p>
        </w:tc>
        <w:tc>
          <w:tcPr>
            <w:tcW w:w="1161"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w:t>
            </w:r>
            <w:r>
              <w:rPr>
                <w:rFonts w:hint="eastAsia" w:ascii="黑体" w:hAnsi="黑体" w:eastAsia="黑体" w:cs="黑体"/>
                <w:sz w:val="22"/>
                <w:lang w:val="en-US" w:eastAsia="zh-CN"/>
              </w:rPr>
              <w:t>股室</w:t>
            </w:r>
          </w:p>
        </w:tc>
        <w:tc>
          <w:tcPr>
            <w:tcW w:w="84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承诺时限</w:t>
            </w:r>
          </w:p>
        </w:tc>
        <w:tc>
          <w:tcPr>
            <w:tcW w:w="813"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法定时限</w:t>
            </w:r>
          </w:p>
        </w:tc>
        <w:tc>
          <w:tcPr>
            <w:tcW w:w="1450"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restart"/>
            <w:vAlign w:val="center"/>
          </w:tcPr>
          <w:p>
            <w:pPr>
              <w:spacing w:line="560" w:lineRule="exact"/>
              <w:jc w:val="center"/>
              <w:rPr>
                <w:rFonts w:hint="eastAsia" w:ascii="仿宋_GB2312" w:hAnsi="黑体" w:eastAsia="仿宋_GB2312" w:cs="宋体"/>
                <w:sz w:val="22"/>
                <w:lang w:eastAsia="zh-CN"/>
              </w:rPr>
            </w:pPr>
            <w:r>
              <w:rPr>
                <w:rFonts w:hint="eastAsia" w:ascii="仿宋_GB2312" w:hAnsi="黑体" w:eastAsia="仿宋_GB2312" w:cs="宋体"/>
                <w:sz w:val="22"/>
                <w:lang w:val="en-US" w:eastAsia="zh-CN"/>
              </w:rPr>
              <w:t>67</w:t>
            </w:r>
          </w:p>
        </w:tc>
        <w:tc>
          <w:tcPr>
            <w:tcW w:w="1199" w:type="dxa"/>
            <w:vMerge w:val="restart"/>
            <w:vAlign w:val="center"/>
          </w:tcPr>
          <w:p>
            <w:pPr>
              <w:rPr>
                <w:rFonts w:hint="eastAsia" w:ascii="仿宋_GB2312" w:hAnsi="黑体" w:eastAsia="仿宋_GB2312" w:cs="宋体"/>
                <w:spacing w:val="-20"/>
                <w:sz w:val="22"/>
              </w:rPr>
            </w:pPr>
            <w:r>
              <w:t>鲜茧收购资格</w:t>
            </w:r>
            <w:r>
              <w:rPr>
                <w:rFonts w:hint="eastAsia"/>
              </w:rPr>
              <w:t>审核转报</w:t>
            </w:r>
          </w:p>
        </w:tc>
        <w:tc>
          <w:tcPr>
            <w:tcW w:w="3135" w:type="dxa"/>
            <w:vMerge w:val="restart"/>
            <w:vAlign w:val="center"/>
          </w:tcPr>
          <w:p>
            <w:pPr>
              <w:jc w:val="left"/>
              <w:rPr>
                <w:rFonts w:hint="eastAsia" w:ascii="仿宋_GB2312" w:hAnsi="黑体" w:eastAsia="仿宋_GB2312" w:cs="宋体"/>
                <w:spacing w:val="-20"/>
                <w:sz w:val="22"/>
              </w:rPr>
            </w:pPr>
            <w:r>
              <w:rPr>
                <w:rFonts w:hint="eastAsia"/>
                <w:sz w:val="20"/>
                <w:szCs w:val="20"/>
              </w:rPr>
              <w:t>《鲜茧收购资格认定办法》（商务部、国家工商行政管理总局令2007年第4号）第十条“县级商务主管部门（茧丝办）负责受理所在地鲜茧收购资格的申请材料，对申请材料的真实性以及收购布局的合理性进行实地考察和审核，并将申请材料和审核意见逐级报送省级商务主管部门（茧丝办）”。</w:t>
            </w: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仿宋_GB2312" w:hAnsi="仿宋_GB2312" w:eastAsia="仿宋_GB2312"/>
                <w:spacing w:val="-20"/>
                <w:sz w:val="20"/>
                <w:szCs w:val="20"/>
              </w:rPr>
              <w:t>受理</w:t>
            </w:r>
          </w:p>
        </w:tc>
        <w:tc>
          <w:tcPr>
            <w:tcW w:w="3775" w:type="dxa"/>
            <w:vAlign w:val="center"/>
          </w:tcPr>
          <w:p>
            <w:pPr>
              <w:autoSpaceDE w:val="0"/>
              <w:autoSpaceDN w:val="0"/>
              <w:spacing w:line="240" w:lineRule="exact"/>
              <w:rPr>
                <w:rFonts w:hint="eastAsia" w:ascii="仿宋_GB2312" w:hAnsi="黑体" w:eastAsia="仿宋_GB2312" w:cs="宋体"/>
                <w:sz w:val="22"/>
              </w:rPr>
            </w:pPr>
            <w:r>
              <w:rPr>
                <w:rFonts w:hint="eastAsia"/>
                <w:color w:val="000000"/>
                <w:sz w:val="20"/>
                <w:szCs w:val="20"/>
              </w:rPr>
              <w:t>1.受理阶段责任：公示依法应当提交的材料；一次性告知补正材料；依法受理或不予受理（不予受理的告知理由）。</w:t>
            </w:r>
          </w:p>
        </w:tc>
        <w:tc>
          <w:tcPr>
            <w:tcW w:w="1161" w:type="dxa"/>
            <w:textDirection w:val="lrTb"/>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rPr>
              <w:t>市场体系建设</w:t>
            </w:r>
            <w:r>
              <w:rPr>
                <w:rFonts w:hint="eastAsia" w:ascii="仿宋_GB2312" w:hAnsi="黑体" w:eastAsia="仿宋_GB2312" w:cs="宋体"/>
                <w:sz w:val="18"/>
                <w:szCs w:val="18"/>
                <w:lang w:val="en-US" w:eastAsia="zh-CN"/>
              </w:rPr>
              <w:t>股</w:t>
            </w:r>
            <w:r>
              <w:rPr>
                <w:rFonts w:hint="eastAsia" w:ascii="仿宋_GB2312" w:hAnsi="黑体" w:eastAsia="仿宋_GB2312" w:cs="宋体"/>
                <w:sz w:val="18"/>
                <w:szCs w:val="18"/>
                <w:lang w:eastAsia="zh-CN"/>
              </w:rPr>
              <w:t>，</w:t>
            </w:r>
            <w:r>
              <w:rPr>
                <w:rFonts w:hint="eastAsia" w:ascii="仿宋_GB2312" w:hAnsi="黑体" w:eastAsia="仿宋_GB2312" w:cs="宋体"/>
                <w:sz w:val="18"/>
                <w:szCs w:val="18"/>
              </w:rPr>
              <w:t>商务稽查</w:t>
            </w:r>
            <w:r>
              <w:rPr>
                <w:rFonts w:hint="eastAsia" w:ascii="仿宋_GB2312" w:hAnsi="黑体" w:eastAsia="仿宋_GB2312" w:cs="宋体"/>
                <w:sz w:val="18"/>
                <w:szCs w:val="18"/>
                <w:lang w:val="en-US" w:eastAsia="zh-CN"/>
              </w:rPr>
              <w:t>大</w:t>
            </w:r>
            <w:r>
              <w:rPr>
                <w:rFonts w:hint="eastAsia" w:ascii="仿宋_GB2312" w:hAnsi="黑体" w:eastAsia="仿宋_GB2312" w:cs="宋体"/>
                <w:sz w:val="18"/>
                <w:szCs w:val="18"/>
              </w:rPr>
              <w:t>队</w:t>
            </w:r>
          </w:p>
        </w:tc>
        <w:tc>
          <w:tcPr>
            <w:tcW w:w="849"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1</w:t>
            </w:r>
          </w:p>
        </w:tc>
        <w:tc>
          <w:tcPr>
            <w:tcW w:w="813" w:type="dxa"/>
            <w:vMerge w:val="restart"/>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45天</w:t>
            </w:r>
          </w:p>
        </w:tc>
        <w:tc>
          <w:tcPr>
            <w:tcW w:w="1450" w:type="dxa"/>
            <w:vMerge w:val="restart"/>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仿宋_GB2312" w:hAnsi="仿宋_GB2312" w:eastAsia="仿宋_GB2312"/>
                <w:spacing w:val="-20"/>
                <w:sz w:val="20"/>
                <w:szCs w:val="20"/>
              </w:rPr>
              <w:t>审查</w:t>
            </w:r>
          </w:p>
        </w:tc>
        <w:tc>
          <w:tcPr>
            <w:tcW w:w="3775" w:type="dxa"/>
            <w:vAlign w:val="center"/>
          </w:tcPr>
          <w:p>
            <w:pPr>
              <w:autoSpaceDE w:val="0"/>
              <w:autoSpaceDN w:val="0"/>
              <w:spacing w:line="240" w:lineRule="exact"/>
              <w:rPr>
                <w:rFonts w:hint="eastAsia" w:ascii="仿宋_GB2312" w:hAnsi="仿宋_GB2312" w:eastAsia="仿宋_GB2312"/>
                <w:spacing w:val="-20"/>
                <w:sz w:val="20"/>
                <w:szCs w:val="20"/>
              </w:rPr>
            </w:pPr>
            <w:r>
              <w:rPr>
                <w:rFonts w:hint="eastAsia"/>
                <w:color w:val="000000"/>
                <w:sz w:val="20"/>
                <w:szCs w:val="20"/>
              </w:rPr>
              <w:t>2.审查阶段责任：材料审核；提出</w:t>
            </w:r>
            <w:r>
              <w:rPr>
                <w:rFonts w:hint="eastAsia"/>
                <w:color w:val="000000"/>
                <w:sz w:val="20"/>
                <w:szCs w:val="20"/>
                <w:lang w:eastAsia="zh-CN"/>
              </w:rPr>
              <w:t>审核</w:t>
            </w:r>
            <w:r>
              <w:rPr>
                <w:rFonts w:hint="eastAsia"/>
                <w:color w:val="000000"/>
                <w:sz w:val="20"/>
                <w:szCs w:val="20"/>
              </w:rPr>
              <w:t>意见。</w:t>
            </w:r>
          </w:p>
        </w:tc>
        <w:tc>
          <w:tcPr>
            <w:tcW w:w="1161" w:type="dxa"/>
            <w:textDirection w:val="lrTb"/>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rPr>
              <w:t>市场体系建设</w:t>
            </w:r>
            <w:r>
              <w:rPr>
                <w:rFonts w:hint="eastAsia" w:ascii="仿宋_GB2312" w:hAnsi="黑体" w:eastAsia="仿宋_GB2312" w:cs="宋体"/>
                <w:sz w:val="18"/>
                <w:szCs w:val="18"/>
                <w:lang w:val="en-US" w:eastAsia="zh-CN"/>
              </w:rPr>
              <w:t>股</w:t>
            </w:r>
            <w:r>
              <w:rPr>
                <w:rFonts w:hint="eastAsia" w:ascii="仿宋_GB2312" w:hAnsi="黑体" w:eastAsia="仿宋_GB2312" w:cs="宋体"/>
                <w:sz w:val="18"/>
                <w:szCs w:val="18"/>
                <w:lang w:eastAsia="zh-CN"/>
              </w:rPr>
              <w:t>，</w:t>
            </w:r>
            <w:r>
              <w:rPr>
                <w:rFonts w:hint="eastAsia" w:ascii="仿宋_GB2312" w:hAnsi="黑体" w:eastAsia="仿宋_GB2312" w:cs="宋体"/>
                <w:sz w:val="18"/>
                <w:szCs w:val="18"/>
              </w:rPr>
              <w:t>商务稽查</w:t>
            </w:r>
            <w:r>
              <w:rPr>
                <w:rFonts w:hint="eastAsia" w:ascii="仿宋_GB2312" w:hAnsi="黑体" w:eastAsia="仿宋_GB2312" w:cs="宋体"/>
                <w:sz w:val="18"/>
                <w:szCs w:val="18"/>
                <w:lang w:val="en-US" w:eastAsia="zh-CN"/>
              </w:rPr>
              <w:t>大</w:t>
            </w:r>
            <w:r>
              <w:rPr>
                <w:rFonts w:hint="eastAsia" w:ascii="仿宋_GB2312" w:hAnsi="黑体" w:eastAsia="仿宋_GB2312" w:cs="宋体"/>
                <w:sz w:val="18"/>
                <w:szCs w:val="18"/>
              </w:rPr>
              <w:t>队</w:t>
            </w:r>
          </w:p>
        </w:tc>
        <w:tc>
          <w:tcPr>
            <w:tcW w:w="849" w:type="dxa"/>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7</w:t>
            </w:r>
          </w:p>
        </w:tc>
        <w:tc>
          <w:tcPr>
            <w:tcW w:w="813" w:type="dxa"/>
            <w:vMerge w:val="continue"/>
            <w:vAlign w:val="center"/>
          </w:tcPr>
          <w:p>
            <w:pPr>
              <w:spacing w:line="560" w:lineRule="exact"/>
              <w:jc w:val="center"/>
              <w:rPr>
                <w:rFonts w:hint="eastAsia" w:ascii="仿宋_GB2312" w:hAnsi="黑体" w:eastAsia="仿宋_GB2312" w:cs="宋体"/>
                <w:sz w:val="22"/>
              </w:rPr>
            </w:pPr>
          </w:p>
        </w:tc>
        <w:tc>
          <w:tcPr>
            <w:tcW w:w="1450"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仿宋_GB2312" w:hAnsi="仿宋_GB2312" w:eastAsia="仿宋_GB2312"/>
                <w:spacing w:val="-20"/>
                <w:sz w:val="20"/>
                <w:szCs w:val="20"/>
              </w:rPr>
              <w:t>决定</w:t>
            </w:r>
          </w:p>
        </w:tc>
        <w:tc>
          <w:tcPr>
            <w:tcW w:w="3775" w:type="dxa"/>
            <w:vAlign w:val="center"/>
          </w:tcPr>
          <w:p>
            <w:pPr>
              <w:autoSpaceDE w:val="0"/>
              <w:autoSpaceDN w:val="0"/>
              <w:spacing w:line="240" w:lineRule="exact"/>
              <w:rPr>
                <w:rFonts w:hint="eastAsia" w:ascii="仿宋_GB2312" w:hAnsi="仿宋_GB2312" w:eastAsia="仿宋_GB2312"/>
                <w:spacing w:val="-20"/>
                <w:sz w:val="20"/>
                <w:szCs w:val="20"/>
              </w:rPr>
            </w:pPr>
            <w:r>
              <w:rPr>
                <w:rFonts w:hint="eastAsia"/>
                <w:color w:val="000000"/>
                <w:sz w:val="20"/>
                <w:szCs w:val="20"/>
              </w:rPr>
              <w:t>3.决定阶段责任：作出</w:t>
            </w:r>
            <w:r>
              <w:rPr>
                <w:rFonts w:hint="eastAsia"/>
                <w:color w:val="000000"/>
                <w:sz w:val="20"/>
                <w:szCs w:val="20"/>
                <w:lang w:eastAsia="zh-CN"/>
              </w:rPr>
              <w:t>审核</w:t>
            </w:r>
            <w:r>
              <w:rPr>
                <w:rFonts w:hint="eastAsia"/>
                <w:color w:val="000000"/>
                <w:sz w:val="20"/>
                <w:szCs w:val="20"/>
              </w:rPr>
              <w:t>批准或者不批准的决定（不批准的告知理由）；按时办结；法定告知。</w:t>
            </w:r>
          </w:p>
        </w:tc>
        <w:tc>
          <w:tcPr>
            <w:tcW w:w="1161" w:type="dxa"/>
            <w:textDirection w:val="lrTb"/>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rPr>
              <w:t>市场体系建设</w:t>
            </w:r>
            <w:r>
              <w:rPr>
                <w:rFonts w:hint="eastAsia" w:ascii="仿宋_GB2312" w:hAnsi="黑体" w:eastAsia="仿宋_GB2312" w:cs="宋体"/>
                <w:sz w:val="18"/>
                <w:szCs w:val="18"/>
                <w:lang w:val="en-US" w:eastAsia="zh-CN"/>
              </w:rPr>
              <w:t>股</w:t>
            </w:r>
            <w:r>
              <w:rPr>
                <w:rFonts w:hint="eastAsia" w:ascii="仿宋_GB2312" w:hAnsi="黑体" w:eastAsia="仿宋_GB2312" w:cs="宋体"/>
                <w:sz w:val="18"/>
                <w:szCs w:val="18"/>
                <w:lang w:eastAsia="zh-CN"/>
              </w:rPr>
              <w:t>，</w:t>
            </w:r>
            <w:r>
              <w:rPr>
                <w:rFonts w:hint="eastAsia" w:ascii="仿宋_GB2312" w:hAnsi="黑体" w:eastAsia="仿宋_GB2312" w:cs="宋体"/>
                <w:sz w:val="18"/>
                <w:szCs w:val="18"/>
              </w:rPr>
              <w:t>商务稽查</w:t>
            </w:r>
            <w:r>
              <w:rPr>
                <w:rFonts w:hint="eastAsia" w:ascii="仿宋_GB2312" w:hAnsi="黑体" w:eastAsia="仿宋_GB2312" w:cs="宋体"/>
                <w:sz w:val="18"/>
                <w:szCs w:val="18"/>
                <w:lang w:val="en-US" w:eastAsia="zh-CN"/>
              </w:rPr>
              <w:t>大</w:t>
            </w:r>
            <w:r>
              <w:rPr>
                <w:rFonts w:hint="eastAsia" w:ascii="仿宋_GB2312" w:hAnsi="黑体" w:eastAsia="仿宋_GB2312" w:cs="宋体"/>
                <w:sz w:val="18"/>
                <w:szCs w:val="18"/>
              </w:rPr>
              <w:t>队</w:t>
            </w:r>
          </w:p>
        </w:tc>
        <w:tc>
          <w:tcPr>
            <w:tcW w:w="849" w:type="dxa"/>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5</w:t>
            </w:r>
          </w:p>
        </w:tc>
        <w:tc>
          <w:tcPr>
            <w:tcW w:w="813" w:type="dxa"/>
            <w:vMerge w:val="continue"/>
            <w:vAlign w:val="center"/>
          </w:tcPr>
          <w:p>
            <w:pPr>
              <w:spacing w:line="560" w:lineRule="exact"/>
              <w:jc w:val="center"/>
              <w:rPr>
                <w:rFonts w:hint="eastAsia" w:ascii="仿宋_GB2312" w:hAnsi="黑体" w:eastAsia="仿宋_GB2312" w:cs="宋体"/>
                <w:sz w:val="22"/>
              </w:rPr>
            </w:pPr>
          </w:p>
        </w:tc>
        <w:tc>
          <w:tcPr>
            <w:tcW w:w="1450"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仿宋_GB2312" w:hAnsi="仿宋_GB2312" w:eastAsia="仿宋_GB2312"/>
                <w:spacing w:val="-20"/>
                <w:sz w:val="20"/>
                <w:szCs w:val="20"/>
              </w:rPr>
              <w:t>送达</w:t>
            </w:r>
          </w:p>
        </w:tc>
        <w:tc>
          <w:tcPr>
            <w:tcW w:w="3775" w:type="dxa"/>
            <w:vAlign w:val="center"/>
          </w:tcPr>
          <w:p>
            <w:pPr>
              <w:autoSpaceDE w:val="0"/>
              <w:autoSpaceDN w:val="0"/>
              <w:spacing w:line="240" w:lineRule="exact"/>
              <w:rPr>
                <w:rFonts w:hint="eastAsia" w:ascii="仿宋_GB2312" w:hAnsi="仿宋_GB2312" w:eastAsia="仿宋_GB2312"/>
                <w:spacing w:val="-20"/>
                <w:sz w:val="20"/>
                <w:szCs w:val="20"/>
              </w:rPr>
            </w:pPr>
            <w:r>
              <w:rPr>
                <w:rFonts w:hint="eastAsia"/>
                <w:color w:val="000000"/>
                <w:sz w:val="20"/>
                <w:szCs w:val="20"/>
              </w:rPr>
              <w:t>4.送达阶段责任：制发送达文书</w:t>
            </w:r>
            <w:r>
              <w:rPr>
                <w:rFonts w:hint="eastAsia"/>
                <w:color w:val="000000"/>
                <w:sz w:val="20"/>
                <w:szCs w:val="20"/>
                <w:lang w:eastAsia="zh-CN"/>
              </w:rPr>
              <w:t>，转报省商务厅</w:t>
            </w:r>
            <w:r>
              <w:rPr>
                <w:rFonts w:hint="eastAsia"/>
                <w:color w:val="000000"/>
                <w:sz w:val="20"/>
                <w:szCs w:val="20"/>
              </w:rPr>
              <w:t>；信息公开。</w:t>
            </w:r>
          </w:p>
        </w:tc>
        <w:tc>
          <w:tcPr>
            <w:tcW w:w="1161" w:type="dxa"/>
            <w:textDirection w:val="lrTb"/>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rPr>
              <w:t>市场体系建设</w:t>
            </w:r>
            <w:r>
              <w:rPr>
                <w:rFonts w:hint="eastAsia" w:ascii="仿宋_GB2312" w:hAnsi="黑体" w:eastAsia="仿宋_GB2312" w:cs="宋体"/>
                <w:sz w:val="18"/>
                <w:szCs w:val="18"/>
                <w:lang w:val="en-US" w:eastAsia="zh-CN"/>
              </w:rPr>
              <w:t>股</w:t>
            </w:r>
            <w:r>
              <w:rPr>
                <w:rFonts w:hint="eastAsia" w:ascii="仿宋_GB2312" w:hAnsi="黑体" w:eastAsia="仿宋_GB2312" w:cs="宋体"/>
                <w:sz w:val="18"/>
                <w:szCs w:val="18"/>
                <w:lang w:eastAsia="zh-CN"/>
              </w:rPr>
              <w:t>，</w:t>
            </w:r>
            <w:r>
              <w:rPr>
                <w:rFonts w:hint="eastAsia" w:ascii="仿宋_GB2312" w:hAnsi="黑体" w:eastAsia="仿宋_GB2312" w:cs="宋体"/>
                <w:sz w:val="18"/>
                <w:szCs w:val="18"/>
              </w:rPr>
              <w:t>商务稽查</w:t>
            </w:r>
            <w:r>
              <w:rPr>
                <w:rFonts w:hint="eastAsia" w:ascii="仿宋_GB2312" w:hAnsi="黑体" w:eastAsia="仿宋_GB2312" w:cs="宋体"/>
                <w:sz w:val="18"/>
                <w:szCs w:val="18"/>
                <w:lang w:val="en-US" w:eastAsia="zh-CN"/>
              </w:rPr>
              <w:t>大</w:t>
            </w:r>
            <w:r>
              <w:rPr>
                <w:rFonts w:hint="eastAsia" w:ascii="仿宋_GB2312" w:hAnsi="黑体" w:eastAsia="仿宋_GB2312" w:cs="宋体"/>
                <w:sz w:val="18"/>
                <w:szCs w:val="18"/>
              </w:rPr>
              <w:t>队</w:t>
            </w:r>
          </w:p>
        </w:tc>
        <w:tc>
          <w:tcPr>
            <w:tcW w:w="849" w:type="dxa"/>
            <w:vAlign w:val="center"/>
          </w:tcPr>
          <w:p>
            <w:pPr>
              <w:spacing w:line="560" w:lineRule="exact"/>
              <w:jc w:val="center"/>
              <w:rPr>
                <w:rFonts w:hint="eastAsia" w:ascii="仿宋_GB2312" w:hAnsi="黑体" w:eastAsia="仿宋_GB2312" w:cs="宋体"/>
                <w:sz w:val="22"/>
                <w:lang w:eastAsia="zh-CN"/>
              </w:rPr>
            </w:pPr>
            <w:r>
              <w:rPr>
                <w:rFonts w:hint="eastAsia" w:ascii="仿宋_GB2312" w:hAnsi="黑体" w:eastAsia="仿宋_GB2312" w:cs="宋体"/>
                <w:sz w:val="22"/>
                <w:lang w:val="en-US" w:eastAsia="zh-CN"/>
              </w:rPr>
              <w:t>5</w:t>
            </w:r>
          </w:p>
        </w:tc>
        <w:tc>
          <w:tcPr>
            <w:tcW w:w="813" w:type="dxa"/>
            <w:vMerge w:val="continue"/>
            <w:vAlign w:val="center"/>
          </w:tcPr>
          <w:p>
            <w:pPr>
              <w:spacing w:line="560" w:lineRule="exact"/>
              <w:jc w:val="center"/>
              <w:rPr>
                <w:rFonts w:hint="eastAsia" w:ascii="仿宋_GB2312" w:hAnsi="黑体" w:eastAsia="仿宋_GB2312" w:cs="宋体"/>
                <w:sz w:val="22"/>
              </w:rPr>
            </w:pPr>
          </w:p>
        </w:tc>
        <w:tc>
          <w:tcPr>
            <w:tcW w:w="1450"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仿宋_GB2312" w:hAnsi="仿宋_GB2312" w:eastAsia="仿宋_GB2312"/>
                <w:spacing w:val="-20"/>
                <w:sz w:val="20"/>
                <w:szCs w:val="20"/>
              </w:rPr>
              <w:t>事后监管</w:t>
            </w:r>
          </w:p>
        </w:tc>
        <w:tc>
          <w:tcPr>
            <w:tcW w:w="3775" w:type="dxa"/>
            <w:vAlign w:val="center"/>
          </w:tcPr>
          <w:p>
            <w:pPr>
              <w:autoSpaceDE w:val="0"/>
              <w:autoSpaceDN w:val="0"/>
              <w:spacing w:line="240" w:lineRule="exact"/>
              <w:rPr>
                <w:rFonts w:hint="eastAsia" w:ascii="仿宋_GB2312" w:hAnsi="仿宋_GB2312" w:eastAsia="仿宋_GB2312"/>
                <w:spacing w:val="-20"/>
                <w:sz w:val="20"/>
                <w:szCs w:val="20"/>
              </w:rPr>
            </w:pPr>
            <w:r>
              <w:rPr>
                <w:rFonts w:hint="eastAsia"/>
                <w:color w:val="000000"/>
                <w:sz w:val="20"/>
                <w:szCs w:val="20"/>
              </w:rPr>
              <w:t>5.事后监管责任：开展定期和不定期检查，根据检查情况，做出资质注销等决定。</w:t>
            </w:r>
          </w:p>
        </w:tc>
        <w:tc>
          <w:tcPr>
            <w:tcW w:w="1161" w:type="dxa"/>
            <w:textDirection w:val="lrTb"/>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rPr>
              <w:t>市场体系建设</w:t>
            </w:r>
            <w:r>
              <w:rPr>
                <w:rFonts w:hint="eastAsia" w:ascii="仿宋_GB2312" w:hAnsi="黑体" w:eastAsia="仿宋_GB2312" w:cs="宋体"/>
                <w:sz w:val="18"/>
                <w:szCs w:val="18"/>
                <w:lang w:val="en-US" w:eastAsia="zh-CN"/>
              </w:rPr>
              <w:t>股</w:t>
            </w:r>
            <w:r>
              <w:rPr>
                <w:rFonts w:hint="eastAsia" w:ascii="仿宋_GB2312" w:hAnsi="黑体" w:eastAsia="仿宋_GB2312" w:cs="宋体"/>
                <w:sz w:val="18"/>
                <w:szCs w:val="18"/>
                <w:lang w:eastAsia="zh-CN"/>
              </w:rPr>
              <w:t>，</w:t>
            </w:r>
            <w:r>
              <w:rPr>
                <w:rFonts w:hint="eastAsia" w:ascii="仿宋_GB2312" w:hAnsi="黑体" w:eastAsia="仿宋_GB2312" w:cs="宋体"/>
                <w:sz w:val="18"/>
                <w:szCs w:val="18"/>
              </w:rPr>
              <w:t>商务稽查</w:t>
            </w:r>
            <w:r>
              <w:rPr>
                <w:rFonts w:hint="eastAsia" w:ascii="仿宋_GB2312" w:hAnsi="黑体" w:eastAsia="仿宋_GB2312" w:cs="宋体"/>
                <w:sz w:val="18"/>
                <w:szCs w:val="18"/>
                <w:lang w:val="en-US" w:eastAsia="zh-CN"/>
              </w:rPr>
              <w:t>大</w:t>
            </w:r>
            <w:r>
              <w:rPr>
                <w:rFonts w:hint="eastAsia" w:ascii="仿宋_GB2312" w:hAnsi="黑体" w:eastAsia="仿宋_GB2312" w:cs="宋体"/>
                <w:sz w:val="18"/>
                <w:szCs w:val="18"/>
              </w:rPr>
              <w:t>队</w:t>
            </w:r>
          </w:p>
        </w:tc>
        <w:tc>
          <w:tcPr>
            <w:tcW w:w="849" w:type="dxa"/>
            <w:vAlign w:val="center"/>
          </w:tcPr>
          <w:p>
            <w:pPr>
              <w:spacing w:line="560" w:lineRule="exact"/>
              <w:jc w:val="center"/>
              <w:rPr>
                <w:rFonts w:hint="eastAsia" w:ascii="仿宋_GB2312" w:hAnsi="黑体" w:eastAsia="仿宋_GB2312" w:cs="宋体"/>
                <w:sz w:val="22"/>
              </w:rPr>
            </w:pPr>
          </w:p>
        </w:tc>
        <w:tc>
          <w:tcPr>
            <w:tcW w:w="813" w:type="dxa"/>
            <w:vMerge w:val="continue"/>
            <w:vAlign w:val="center"/>
          </w:tcPr>
          <w:p>
            <w:pPr>
              <w:spacing w:line="560" w:lineRule="exact"/>
              <w:jc w:val="center"/>
              <w:rPr>
                <w:rFonts w:hint="eastAsia" w:ascii="仿宋_GB2312" w:hAnsi="黑体" w:eastAsia="仿宋_GB2312" w:cs="宋体"/>
                <w:sz w:val="22"/>
              </w:rPr>
            </w:pPr>
          </w:p>
        </w:tc>
        <w:tc>
          <w:tcPr>
            <w:tcW w:w="1450"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p>
        </w:tc>
        <w:tc>
          <w:tcPr>
            <w:tcW w:w="3775" w:type="dxa"/>
            <w:vAlign w:val="center"/>
          </w:tcPr>
          <w:p>
            <w:pPr>
              <w:autoSpaceDE w:val="0"/>
              <w:autoSpaceDN w:val="0"/>
              <w:spacing w:line="240" w:lineRule="exact"/>
              <w:rPr>
                <w:rFonts w:hint="eastAsia" w:ascii="仿宋_GB2312" w:hAnsi="仿宋_GB2312" w:eastAsia="仿宋_GB2312"/>
                <w:spacing w:val="-20"/>
                <w:sz w:val="20"/>
                <w:szCs w:val="20"/>
              </w:rPr>
            </w:pPr>
            <w:r>
              <w:rPr>
                <w:rFonts w:hint="eastAsia"/>
                <w:color w:val="000000"/>
                <w:sz w:val="20"/>
                <w:szCs w:val="20"/>
              </w:rPr>
              <w:t>6.其他法律法规规章文件规定应履行的责任。</w:t>
            </w:r>
          </w:p>
        </w:tc>
        <w:tc>
          <w:tcPr>
            <w:tcW w:w="1161" w:type="dxa"/>
            <w:textDirection w:val="lrTb"/>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hint="eastAsia" w:ascii="仿宋_GB2312" w:hAnsi="黑体" w:eastAsia="仿宋_GB2312" w:cs="宋体"/>
                <w:sz w:val="20"/>
                <w:szCs w:val="20"/>
              </w:rPr>
            </w:pPr>
            <w:r>
              <w:rPr>
                <w:rFonts w:hint="eastAsia" w:ascii="仿宋_GB2312" w:hAnsi="黑体" w:eastAsia="仿宋_GB2312" w:cs="宋体"/>
                <w:sz w:val="18"/>
                <w:szCs w:val="18"/>
              </w:rPr>
              <w:t>市场体系建设</w:t>
            </w:r>
            <w:r>
              <w:rPr>
                <w:rFonts w:hint="eastAsia" w:ascii="仿宋_GB2312" w:hAnsi="黑体" w:eastAsia="仿宋_GB2312" w:cs="宋体"/>
                <w:sz w:val="18"/>
                <w:szCs w:val="18"/>
                <w:lang w:val="en-US" w:eastAsia="zh-CN"/>
              </w:rPr>
              <w:t>股</w:t>
            </w:r>
            <w:r>
              <w:rPr>
                <w:rFonts w:hint="eastAsia" w:ascii="仿宋_GB2312" w:hAnsi="黑体" w:eastAsia="仿宋_GB2312" w:cs="宋体"/>
                <w:sz w:val="18"/>
                <w:szCs w:val="18"/>
                <w:lang w:eastAsia="zh-CN"/>
              </w:rPr>
              <w:t>，</w:t>
            </w:r>
            <w:r>
              <w:rPr>
                <w:rFonts w:hint="eastAsia" w:ascii="仿宋_GB2312" w:hAnsi="黑体" w:eastAsia="仿宋_GB2312" w:cs="宋体"/>
                <w:sz w:val="18"/>
                <w:szCs w:val="18"/>
              </w:rPr>
              <w:t>商务稽查</w:t>
            </w:r>
            <w:r>
              <w:rPr>
                <w:rFonts w:hint="eastAsia" w:ascii="仿宋_GB2312" w:hAnsi="黑体" w:eastAsia="仿宋_GB2312" w:cs="宋体"/>
                <w:sz w:val="18"/>
                <w:szCs w:val="18"/>
                <w:lang w:val="en-US" w:eastAsia="zh-CN"/>
              </w:rPr>
              <w:t>大</w:t>
            </w:r>
            <w:r>
              <w:rPr>
                <w:rFonts w:hint="eastAsia" w:ascii="仿宋_GB2312" w:hAnsi="黑体" w:eastAsia="仿宋_GB2312" w:cs="宋体"/>
                <w:sz w:val="18"/>
                <w:szCs w:val="18"/>
              </w:rPr>
              <w:t>队</w:t>
            </w:r>
          </w:p>
        </w:tc>
        <w:tc>
          <w:tcPr>
            <w:tcW w:w="849" w:type="dxa"/>
            <w:vAlign w:val="center"/>
          </w:tcPr>
          <w:p>
            <w:pPr>
              <w:spacing w:line="560" w:lineRule="exact"/>
              <w:jc w:val="center"/>
              <w:rPr>
                <w:rFonts w:hint="eastAsia" w:ascii="仿宋_GB2312" w:hAnsi="黑体" w:eastAsia="仿宋_GB2312" w:cs="宋体"/>
                <w:sz w:val="22"/>
              </w:rPr>
            </w:pPr>
          </w:p>
        </w:tc>
        <w:tc>
          <w:tcPr>
            <w:tcW w:w="813" w:type="dxa"/>
            <w:vMerge w:val="continue"/>
            <w:vAlign w:val="center"/>
          </w:tcPr>
          <w:p>
            <w:pPr>
              <w:spacing w:line="560" w:lineRule="exact"/>
              <w:jc w:val="center"/>
              <w:rPr>
                <w:rFonts w:hint="eastAsia" w:ascii="仿宋_GB2312" w:hAnsi="黑体" w:eastAsia="仿宋_GB2312" w:cs="宋体"/>
                <w:sz w:val="22"/>
              </w:rPr>
            </w:pPr>
          </w:p>
        </w:tc>
        <w:tc>
          <w:tcPr>
            <w:tcW w:w="1450"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12" w:hRule="atLeast"/>
          <w:jc w:val="center"/>
        </w:trPr>
        <w:tc>
          <w:tcPr>
            <w:tcW w:w="14174" w:type="dxa"/>
            <w:gridSpan w:val="9"/>
            <w:textDirection w:val="lrTb"/>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服务电话：</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投诉机构：</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商务举报投诉服务站</w:t>
            </w:r>
            <w:r>
              <w:rPr>
                <w:rFonts w:hint="eastAsia" w:ascii="仿宋_GB2312" w:hAnsi="黑体" w:eastAsia="仿宋_GB2312" w:cs="宋体"/>
                <w:sz w:val="22"/>
              </w:rPr>
              <w:t xml:space="preserve">      投诉电话：0394-</w:t>
            </w:r>
            <w:r>
              <w:rPr>
                <w:rFonts w:hint="eastAsia" w:ascii="仿宋_GB2312" w:hAnsi="黑体" w:eastAsia="仿宋_GB2312" w:cs="宋体"/>
                <w:sz w:val="22"/>
                <w:lang w:val="en-US" w:eastAsia="zh-CN"/>
              </w:rPr>
              <w:t>3229596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12" w:hRule="atLeast"/>
          <w:jc w:val="center"/>
        </w:trPr>
        <w:tc>
          <w:tcPr>
            <w:tcW w:w="14174" w:type="dxa"/>
            <w:gridSpan w:val="9"/>
            <w:textDirection w:val="lrTb"/>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受理地点：</w:t>
            </w:r>
            <w:r>
              <w:rPr>
                <w:rFonts w:hint="eastAsia" w:ascii="仿宋_GB2312" w:hAnsi="黑体" w:eastAsia="仿宋_GB2312" w:cs="宋体"/>
                <w:sz w:val="22"/>
                <w:lang w:val="en-US" w:eastAsia="zh-CN"/>
              </w:rPr>
              <w:t>郸城县世纪大道南段商务局二楼</w:t>
            </w:r>
          </w:p>
        </w:tc>
      </w:tr>
    </w:tbl>
    <w:p>
      <w:pPr>
        <w:ind w:firstLine="420" w:firstLineChars="200"/>
      </w:pPr>
    </w:p>
    <w:p>
      <w:pPr>
        <w:pStyle w:val="3"/>
        <w:widowControl/>
        <w:spacing w:after="0" w:afterAutospacing="0" w:line="560" w:lineRule="exact"/>
        <w:rPr>
          <w:rFonts w:hint="eastAsia"/>
        </w:rPr>
        <w:sectPr>
          <w:footerReference r:id="rId3" w:type="default"/>
          <w:footerReference r:id="rId4" w:type="even"/>
          <w:pgSz w:w="16838" w:h="11906" w:orient="landscape"/>
          <w:pgMar w:top="1701" w:right="1440" w:bottom="1587" w:left="1440" w:header="851" w:footer="992" w:gutter="0"/>
          <w:cols w:space="720" w:num="1"/>
          <w:docGrid w:type="lines" w:linePitch="319" w:charSpace="0"/>
        </w:sectPr>
      </w:pPr>
    </w:p>
    <w:p>
      <w:pPr>
        <w:spacing w:line="560" w:lineRule="exact"/>
        <w:jc w:val="center"/>
        <w:rPr>
          <w:rFonts w:hint="eastAsia" w:ascii="黑体" w:eastAsia="黑体"/>
          <w:sz w:val="32"/>
          <w:szCs w:val="32"/>
          <w:lang w:val="zh-CN" w:eastAsia="zh-CN"/>
        </w:rPr>
      </w:pPr>
      <w:r>
        <w:rPr>
          <w:rFonts w:hint="eastAsia" w:ascii="黑体" w:eastAsia="黑体"/>
          <w:sz w:val="32"/>
          <w:szCs w:val="32"/>
          <w:lang w:val="en-US" w:eastAsia="zh-CN"/>
        </w:rPr>
        <w:t>郸城县</w:t>
      </w:r>
      <w:r>
        <w:rPr>
          <w:rFonts w:hint="eastAsia" w:ascii="黑体" w:eastAsia="黑体"/>
          <w:sz w:val="32"/>
          <w:szCs w:val="32"/>
          <w:lang w:val="zh-CN" w:eastAsia="zh-CN"/>
        </w:rPr>
        <w:t>商务局责任清单</w:t>
      </w:r>
    </w:p>
    <w:p>
      <w:pPr>
        <w:spacing w:line="560" w:lineRule="exact"/>
        <w:ind w:firstLine="440" w:firstLineChars="200"/>
        <w:rPr>
          <w:rFonts w:hint="eastAsia" w:ascii="仿宋_GB2312" w:hAnsi="黑体" w:eastAsia="仿宋_GB2312" w:cs="宋体"/>
          <w:sz w:val="22"/>
        </w:rPr>
      </w:pPr>
      <w:r>
        <w:rPr>
          <w:rFonts w:hint="eastAsia" w:ascii="仿宋_GB2312" w:hAnsi="黑体" w:eastAsia="仿宋_GB2312" w:cs="宋体"/>
          <w:sz w:val="22"/>
        </w:rPr>
        <w:t>职权类别：其他职权</w:t>
      </w:r>
    </w:p>
    <w:tbl>
      <w:tblPr>
        <w:tblStyle w:val="6"/>
        <w:tblW w:w="14174"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18"/>
        <w:gridCol w:w="1199"/>
        <w:gridCol w:w="3135"/>
        <w:gridCol w:w="1074"/>
        <w:gridCol w:w="3775"/>
        <w:gridCol w:w="1161"/>
        <w:gridCol w:w="849"/>
        <w:gridCol w:w="813"/>
        <w:gridCol w:w="145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8" w:hRule="atLeast"/>
          <w:jc w:val="center"/>
        </w:trPr>
        <w:tc>
          <w:tcPr>
            <w:tcW w:w="718"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序号</w:t>
            </w:r>
          </w:p>
        </w:tc>
        <w:tc>
          <w:tcPr>
            <w:tcW w:w="119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职权名称</w:t>
            </w:r>
          </w:p>
        </w:tc>
        <w:tc>
          <w:tcPr>
            <w:tcW w:w="313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实施依据</w:t>
            </w:r>
          </w:p>
        </w:tc>
        <w:tc>
          <w:tcPr>
            <w:tcW w:w="1074"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办理</w:t>
            </w:r>
          </w:p>
          <w:p>
            <w:pPr>
              <w:spacing w:line="360" w:lineRule="exact"/>
              <w:jc w:val="center"/>
              <w:rPr>
                <w:rFonts w:hint="eastAsia" w:ascii="黑体" w:hAnsi="黑体" w:eastAsia="黑体" w:cs="黑体"/>
                <w:sz w:val="22"/>
              </w:rPr>
            </w:pPr>
            <w:r>
              <w:rPr>
                <w:rFonts w:hint="eastAsia" w:ascii="黑体" w:hAnsi="黑体" w:eastAsia="黑体" w:cs="黑体"/>
                <w:sz w:val="22"/>
              </w:rPr>
              <w:t>环节</w:t>
            </w:r>
          </w:p>
        </w:tc>
        <w:tc>
          <w:tcPr>
            <w:tcW w:w="377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责任事项</w:t>
            </w:r>
          </w:p>
        </w:tc>
        <w:tc>
          <w:tcPr>
            <w:tcW w:w="1161"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w:t>
            </w:r>
            <w:r>
              <w:rPr>
                <w:rFonts w:hint="eastAsia" w:ascii="黑体" w:hAnsi="黑体" w:eastAsia="黑体" w:cs="黑体"/>
                <w:sz w:val="22"/>
                <w:lang w:val="en-US" w:eastAsia="zh-CN"/>
              </w:rPr>
              <w:t>股室</w:t>
            </w:r>
          </w:p>
        </w:tc>
        <w:tc>
          <w:tcPr>
            <w:tcW w:w="84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承诺时限</w:t>
            </w:r>
          </w:p>
        </w:tc>
        <w:tc>
          <w:tcPr>
            <w:tcW w:w="813"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法定时限</w:t>
            </w:r>
          </w:p>
        </w:tc>
        <w:tc>
          <w:tcPr>
            <w:tcW w:w="1450"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restart"/>
            <w:vAlign w:val="center"/>
          </w:tcPr>
          <w:p>
            <w:pPr>
              <w:spacing w:line="560" w:lineRule="exact"/>
              <w:jc w:val="center"/>
              <w:rPr>
                <w:rFonts w:hint="eastAsia" w:ascii="仿宋_GB2312" w:hAnsi="黑体" w:eastAsia="仿宋_GB2312" w:cs="宋体"/>
                <w:sz w:val="22"/>
                <w:lang w:eastAsia="zh-CN"/>
              </w:rPr>
            </w:pPr>
            <w:r>
              <w:rPr>
                <w:rFonts w:hint="eastAsia" w:ascii="仿宋_GB2312" w:hAnsi="黑体" w:eastAsia="仿宋_GB2312" w:cs="宋体"/>
                <w:sz w:val="22"/>
                <w:lang w:val="en-US" w:eastAsia="zh-CN"/>
              </w:rPr>
              <w:t>68</w:t>
            </w:r>
          </w:p>
        </w:tc>
        <w:tc>
          <w:tcPr>
            <w:tcW w:w="1199" w:type="dxa"/>
            <w:vMerge w:val="restart"/>
            <w:vAlign w:val="center"/>
          </w:tcPr>
          <w:p>
            <w:pPr>
              <w:autoSpaceDN w:val="0"/>
              <w:jc w:val="center"/>
              <w:rPr>
                <w:rFonts w:hint="eastAsia" w:ascii="仿宋_GB2312" w:hAnsi="黑体" w:eastAsia="仿宋_GB2312" w:cs="宋体"/>
                <w:spacing w:val="-20"/>
                <w:sz w:val="22"/>
              </w:rPr>
            </w:pPr>
            <w:r>
              <w:rPr>
                <w:rFonts w:hint="eastAsia"/>
              </w:rPr>
              <w:t>单</w:t>
            </w:r>
            <w:r>
              <w:rPr>
                <w:rFonts w:hint="eastAsia"/>
                <w:sz w:val="22"/>
                <w:szCs w:val="22"/>
              </w:rPr>
              <w:t>用途商业预付卡规模发卡企业备案</w:t>
            </w:r>
          </w:p>
        </w:tc>
        <w:tc>
          <w:tcPr>
            <w:tcW w:w="3135" w:type="dxa"/>
            <w:vMerge w:val="restart"/>
            <w:vAlign w:val="center"/>
          </w:tcPr>
          <w:p>
            <w:pPr>
              <w:widowControl/>
              <w:spacing w:line="330" w:lineRule="atLeast"/>
              <w:jc w:val="left"/>
              <w:rPr>
                <w:rFonts w:hint="eastAsia" w:ascii="仿宋_GB2312" w:hAnsi="黑体" w:eastAsia="仿宋_GB2312" w:cs="宋体"/>
                <w:spacing w:val="-20"/>
                <w:sz w:val="22"/>
              </w:rPr>
            </w:pPr>
            <w:r>
              <w:rPr>
                <w:rFonts w:hint="eastAsia"/>
                <w:sz w:val="22"/>
                <w:szCs w:val="22"/>
              </w:rPr>
              <w:t xml:space="preserve"> 《单用途商业预付卡管理办法（试行）》（商务部令2012年第9号）</w:t>
            </w:r>
            <w:r>
              <w:rPr>
                <w:rFonts w:ascii="宋体" w:hAnsi="宋体" w:cs="宋体"/>
                <w:kern w:val="0"/>
                <w:szCs w:val="21"/>
              </w:rPr>
              <w:t xml:space="preserve">第七条 </w:t>
            </w:r>
            <w:r>
              <w:rPr>
                <w:rFonts w:hint="eastAsia" w:ascii="宋体" w:hAnsi="宋体" w:cs="宋体"/>
                <w:kern w:val="0"/>
                <w:szCs w:val="21"/>
              </w:rPr>
              <w:t>第二款：“</w:t>
            </w:r>
            <w:r>
              <w:rPr>
                <w:rFonts w:ascii="宋体" w:hAnsi="宋体" w:cs="宋体"/>
                <w:kern w:val="0"/>
                <w:szCs w:val="21"/>
              </w:rPr>
              <w:t>规模发卡企业向其工商登记注册地设区的市人民政府商务主管部门备案</w:t>
            </w:r>
            <w:r>
              <w:rPr>
                <w:rFonts w:hint="eastAsia" w:ascii="宋体" w:hAnsi="宋体" w:cs="宋体"/>
                <w:kern w:val="0"/>
                <w:szCs w:val="21"/>
              </w:rPr>
              <w:t>”。</w:t>
            </w: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仿宋_GB2312" w:hAnsi="仿宋_GB2312" w:eastAsia="仿宋_GB2312"/>
                <w:spacing w:val="-20"/>
                <w:sz w:val="20"/>
                <w:szCs w:val="20"/>
              </w:rPr>
              <w:t>受理</w:t>
            </w:r>
          </w:p>
        </w:tc>
        <w:tc>
          <w:tcPr>
            <w:tcW w:w="3775" w:type="dxa"/>
            <w:vAlign w:val="center"/>
          </w:tcPr>
          <w:p>
            <w:pPr>
              <w:autoSpaceDE w:val="0"/>
              <w:autoSpaceDN w:val="0"/>
              <w:spacing w:line="240" w:lineRule="exact"/>
              <w:rPr>
                <w:rFonts w:hint="eastAsia" w:ascii="仿宋_GB2312" w:hAnsi="黑体" w:eastAsia="仿宋_GB2312" w:cs="宋体"/>
                <w:sz w:val="22"/>
              </w:rPr>
            </w:pPr>
            <w:r>
              <w:rPr>
                <w:rFonts w:hint="eastAsia"/>
                <w:color w:val="000000"/>
                <w:sz w:val="20"/>
                <w:szCs w:val="20"/>
              </w:rPr>
              <w:t>1.受理阶段责任：公示依法应当提交的材料；一次性告知补正材料；依法受理或不予受理（不予受理的告知理由）。</w:t>
            </w:r>
          </w:p>
        </w:tc>
        <w:tc>
          <w:tcPr>
            <w:tcW w:w="1161" w:type="dxa"/>
            <w:vAlign w:val="center"/>
          </w:tcPr>
          <w:p>
            <w:pPr>
              <w:spacing w:line="300" w:lineRule="exact"/>
              <w:jc w:val="center"/>
              <w:rPr>
                <w:rFonts w:hint="eastAsia" w:ascii="仿宋_GB2312" w:hAnsi="黑体" w:eastAsia="仿宋_GB2312" w:cs="宋体"/>
                <w:sz w:val="20"/>
                <w:szCs w:val="20"/>
              </w:rPr>
            </w:pPr>
            <w:r>
              <w:rPr>
                <w:rFonts w:hint="eastAsia" w:ascii="仿宋_GB2312" w:hAnsi="黑体" w:eastAsia="仿宋_GB2312" w:cs="宋体"/>
                <w:sz w:val="20"/>
                <w:szCs w:val="20"/>
              </w:rPr>
              <w:t>市场秩序</w:t>
            </w:r>
            <w:r>
              <w:rPr>
                <w:rFonts w:hint="eastAsia" w:ascii="仿宋_GB2312" w:hAnsi="黑体" w:eastAsia="仿宋_GB2312" w:cs="宋体"/>
                <w:sz w:val="20"/>
                <w:szCs w:val="20"/>
                <w:lang w:val="en-US" w:eastAsia="zh-CN"/>
              </w:rPr>
              <w:t>股</w:t>
            </w:r>
          </w:p>
        </w:tc>
        <w:tc>
          <w:tcPr>
            <w:tcW w:w="849" w:type="dxa"/>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1</w:t>
            </w:r>
          </w:p>
        </w:tc>
        <w:tc>
          <w:tcPr>
            <w:tcW w:w="813" w:type="dxa"/>
            <w:vMerge w:val="restart"/>
            <w:vAlign w:val="center"/>
          </w:tcPr>
          <w:p>
            <w:pPr>
              <w:spacing w:line="560" w:lineRule="exact"/>
              <w:jc w:val="center"/>
              <w:rPr>
                <w:rFonts w:hint="eastAsia" w:ascii="仿宋_GB2312" w:hAnsi="黑体" w:eastAsia="仿宋_GB2312" w:cs="宋体"/>
                <w:sz w:val="22"/>
              </w:rPr>
            </w:pPr>
          </w:p>
        </w:tc>
        <w:tc>
          <w:tcPr>
            <w:tcW w:w="1450" w:type="dxa"/>
            <w:vMerge w:val="restart"/>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仿宋_GB2312" w:hAnsi="仿宋_GB2312" w:eastAsia="仿宋_GB2312"/>
                <w:spacing w:val="-20"/>
                <w:sz w:val="20"/>
                <w:szCs w:val="20"/>
              </w:rPr>
              <w:t>审查</w:t>
            </w:r>
          </w:p>
        </w:tc>
        <w:tc>
          <w:tcPr>
            <w:tcW w:w="3775" w:type="dxa"/>
            <w:vAlign w:val="center"/>
          </w:tcPr>
          <w:p>
            <w:pPr>
              <w:autoSpaceDE w:val="0"/>
              <w:autoSpaceDN w:val="0"/>
              <w:spacing w:line="240" w:lineRule="exact"/>
              <w:rPr>
                <w:rFonts w:hint="eastAsia" w:ascii="仿宋_GB2312" w:hAnsi="仿宋_GB2312" w:eastAsia="仿宋_GB2312"/>
                <w:spacing w:val="-20"/>
                <w:sz w:val="20"/>
                <w:szCs w:val="20"/>
              </w:rPr>
            </w:pPr>
            <w:r>
              <w:rPr>
                <w:rFonts w:hint="eastAsia"/>
                <w:color w:val="000000"/>
                <w:sz w:val="20"/>
                <w:szCs w:val="20"/>
              </w:rPr>
              <w:t>2.审查阶段责任：材料审核；提出初审意见。</w:t>
            </w:r>
          </w:p>
        </w:tc>
        <w:tc>
          <w:tcPr>
            <w:tcW w:w="1161" w:type="dxa"/>
            <w:vAlign w:val="center"/>
          </w:tcPr>
          <w:p>
            <w:pPr>
              <w:spacing w:line="300" w:lineRule="exact"/>
              <w:jc w:val="center"/>
              <w:rPr>
                <w:rFonts w:hint="eastAsia" w:ascii="仿宋_GB2312" w:hAnsi="黑体" w:eastAsia="仿宋_GB2312" w:cs="宋体"/>
                <w:sz w:val="20"/>
                <w:szCs w:val="20"/>
              </w:rPr>
            </w:pPr>
            <w:r>
              <w:rPr>
                <w:rFonts w:hint="eastAsia" w:ascii="仿宋_GB2312" w:hAnsi="黑体" w:eastAsia="仿宋_GB2312" w:cs="宋体"/>
                <w:sz w:val="20"/>
                <w:szCs w:val="20"/>
              </w:rPr>
              <w:t>市场秩序</w:t>
            </w:r>
            <w:r>
              <w:rPr>
                <w:rFonts w:hint="eastAsia" w:ascii="仿宋_GB2312" w:hAnsi="黑体" w:eastAsia="仿宋_GB2312" w:cs="宋体"/>
                <w:sz w:val="20"/>
                <w:szCs w:val="20"/>
                <w:lang w:val="en-US" w:eastAsia="zh-CN"/>
              </w:rPr>
              <w:t>股</w:t>
            </w:r>
          </w:p>
        </w:tc>
        <w:tc>
          <w:tcPr>
            <w:tcW w:w="849" w:type="dxa"/>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1</w:t>
            </w:r>
          </w:p>
        </w:tc>
        <w:tc>
          <w:tcPr>
            <w:tcW w:w="813" w:type="dxa"/>
            <w:vMerge w:val="continue"/>
            <w:vAlign w:val="center"/>
          </w:tcPr>
          <w:p>
            <w:pPr>
              <w:spacing w:line="560" w:lineRule="exact"/>
              <w:jc w:val="center"/>
              <w:rPr>
                <w:rFonts w:hint="eastAsia" w:ascii="仿宋_GB2312" w:hAnsi="黑体" w:eastAsia="仿宋_GB2312" w:cs="宋体"/>
                <w:sz w:val="22"/>
              </w:rPr>
            </w:pPr>
          </w:p>
        </w:tc>
        <w:tc>
          <w:tcPr>
            <w:tcW w:w="1450"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仿宋_GB2312" w:hAnsi="仿宋_GB2312" w:eastAsia="仿宋_GB2312"/>
                <w:spacing w:val="-20"/>
                <w:sz w:val="20"/>
                <w:szCs w:val="20"/>
              </w:rPr>
              <w:t>决定</w:t>
            </w:r>
          </w:p>
        </w:tc>
        <w:tc>
          <w:tcPr>
            <w:tcW w:w="3775" w:type="dxa"/>
            <w:vAlign w:val="center"/>
          </w:tcPr>
          <w:p>
            <w:pPr>
              <w:autoSpaceDE w:val="0"/>
              <w:autoSpaceDN w:val="0"/>
              <w:spacing w:line="240" w:lineRule="exact"/>
              <w:rPr>
                <w:rFonts w:hint="eastAsia" w:ascii="仿宋_GB2312" w:hAnsi="仿宋_GB2312" w:eastAsia="仿宋_GB2312"/>
                <w:spacing w:val="-20"/>
                <w:sz w:val="20"/>
                <w:szCs w:val="20"/>
              </w:rPr>
            </w:pPr>
            <w:r>
              <w:rPr>
                <w:rFonts w:hint="eastAsia"/>
                <w:color w:val="000000"/>
                <w:sz w:val="20"/>
                <w:szCs w:val="20"/>
              </w:rPr>
              <w:t>3.决定阶段责任：作出初审批准或者不批准的决定（不批准的告知理由）；按时办结；法定告知。</w:t>
            </w:r>
          </w:p>
        </w:tc>
        <w:tc>
          <w:tcPr>
            <w:tcW w:w="1161" w:type="dxa"/>
            <w:vAlign w:val="center"/>
          </w:tcPr>
          <w:p>
            <w:pPr>
              <w:spacing w:line="300" w:lineRule="exact"/>
              <w:jc w:val="center"/>
              <w:rPr>
                <w:rFonts w:hint="eastAsia" w:ascii="仿宋_GB2312" w:hAnsi="黑体" w:eastAsia="仿宋_GB2312" w:cs="宋体"/>
                <w:sz w:val="20"/>
                <w:szCs w:val="20"/>
              </w:rPr>
            </w:pPr>
            <w:r>
              <w:rPr>
                <w:rFonts w:hint="eastAsia" w:ascii="仿宋_GB2312" w:hAnsi="黑体" w:eastAsia="仿宋_GB2312" w:cs="宋体"/>
                <w:sz w:val="20"/>
                <w:szCs w:val="20"/>
              </w:rPr>
              <w:t>市场秩序</w:t>
            </w:r>
            <w:r>
              <w:rPr>
                <w:rFonts w:hint="eastAsia" w:ascii="仿宋_GB2312" w:hAnsi="黑体" w:eastAsia="仿宋_GB2312" w:cs="宋体"/>
                <w:sz w:val="20"/>
                <w:szCs w:val="20"/>
                <w:lang w:val="en-US" w:eastAsia="zh-CN"/>
              </w:rPr>
              <w:t>股</w:t>
            </w:r>
          </w:p>
        </w:tc>
        <w:tc>
          <w:tcPr>
            <w:tcW w:w="849" w:type="dxa"/>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1</w:t>
            </w:r>
          </w:p>
        </w:tc>
        <w:tc>
          <w:tcPr>
            <w:tcW w:w="813" w:type="dxa"/>
            <w:vMerge w:val="continue"/>
            <w:vAlign w:val="center"/>
          </w:tcPr>
          <w:p>
            <w:pPr>
              <w:spacing w:line="560" w:lineRule="exact"/>
              <w:jc w:val="center"/>
              <w:rPr>
                <w:rFonts w:hint="eastAsia" w:ascii="仿宋_GB2312" w:hAnsi="黑体" w:eastAsia="仿宋_GB2312" w:cs="宋体"/>
                <w:sz w:val="22"/>
              </w:rPr>
            </w:pPr>
          </w:p>
        </w:tc>
        <w:tc>
          <w:tcPr>
            <w:tcW w:w="1450"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仿宋_GB2312" w:hAnsi="仿宋_GB2312" w:eastAsia="仿宋_GB2312"/>
                <w:spacing w:val="-20"/>
                <w:sz w:val="20"/>
                <w:szCs w:val="20"/>
              </w:rPr>
              <w:t>送达</w:t>
            </w:r>
          </w:p>
        </w:tc>
        <w:tc>
          <w:tcPr>
            <w:tcW w:w="3775" w:type="dxa"/>
            <w:vAlign w:val="center"/>
          </w:tcPr>
          <w:p>
            <w:pPr>
              <w:autoSpaceDE w:val="0"/>
              <w:autoSpaceDN w:val="0"/>
              <w:spacing w:line="240" w:lineRule="exact"/>
              <w:rPr>
                <w:rFonts w:hint="eastAsia" w:ascii="仿宋_GB2312" w:hAnsi="仿宋_GB2312" w:eastAsia="仿宋_GB2312"/>
                <w:spacing w:val="-20"/>
                <w:sz w:val="20"/>
                <w:szCs w:val="20"/>
              </w:rPr>
            </w:pPr>
            <w:r>
              <w:rPr>
                <w:rFonts w:hint="eastAsia"/>
                <w:color w:val="000000"/>
                <w:sz w:val="20"/>
                <w:szCs w:val="20"/>
              </w:rPr>
              <w:t>4.送达阶段责任：制发送达文书；信息公开。</w:t>
            </w:r>
          </w:p>
        </w:tc>
        <w:tc>
          <w:tcPr>
            <w:tcW w:w="1161" w:type="dxa"/>
            <w:vAlign w:val="center"/>
          </w:tcPr>
          <w:p>
            <w:pPr>
              <w:spacing w:line="300" w:lineRule="exact"/>
              <w:jc w:val="center"/>
              <w:rPr>
                <w:rFonts w:hint="eastAsia" w:ascii="仿宋_GB2312" w:hAnsi="黑体" w:eastAsia="仿宋_GB2312" w:cs="宋体"/>
                <w:sz w:val="20"/>
                <w:szCs w:val="20"/>
              </w:rPr>
            </w:pPr>
            <w:r>
              <w:rPr>
                <w:rFonts w:hint="eastAsia" w:ascii="仿宋_GB2312" w:hAnsi="黑体" w:eastAsia="仿宋_GB2312" w:cs="宋体"/>
                <w:sz w:val="20"/>
                <w:szCs w:val="20"/>
              </w:rPr>
              <w:t>市场秩序</w:t>
            </w:r>
            <w:r>
              <w:rPr>
                <w:rFonts w:hint="eastAsia" w:ascii="仿宋_GB2312" w:hAnsi="黑体" w:eastAsia="仿宋_GB2312" w:cs="宋体"/>
                <w:sz w:val="20"/>
                <w:szCs w:val="20"/>
                <w:lang w:val="en-US" w:eastAsia="zh-CN"/>
              </w:rPr>
              <w:t>股</w:t>
            </w:r>
          </w:p>
        </w:tc>
        <w:tc>
          <w:tcPr>
            <w:tcW w:w="849" w:type="dxa"/>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3</w:t>
            </w:r>
          </w:p>
        </w:tc>
        <w:tc>
          <w:tcPr>
            <w:tcW w:w="813" w:type="dxa"/>
            <w:vMerge w:val="continue"/>
            <w:vAlign w:val="center"/>
          </w:tcPr>
          <w:p>
            <w:pPr>
              <w:spacing w:line="560" w:lineRule="exact"/>
              <w:jc w:val="center"/>
              <w:rPr>
                <w:rFonts w:hint="eastAsia" w:ascii="仿宋_GB2312" w:hAnsi="黑体" w:eastAsia="仿宋_GB2312" w:cs="宋体"/>
                <w:sz w:val="22"/>
              </w:rPr>
            </w:pPr>
          </w:p>
        </w:tc>
        <w:tc>
          <w:tcPr>
            <w:tcW w:w="1450"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仿宋_GB2312" w:hAnsi="仿宋_GB2312" w:eastAsia="仿宋_GB2312"/>
                <w:spacing w:val="-20"/>
                <w:sz w:val="20"/>
                <w:szCs w:val="20"/>
              </w:rPr>
              <w:t>事后监管</w:t>
            </w:r>
          </w:p>
        </w:tc>
        <w:tc>
          <w:tcPr>
            <w:tcW w:w="3775" w:type="dxa"/>
            <w:vAlign w:val="center"/>
          </w:tcPr>
          <w:p>
            <w:pPr>
              <w:autoSpaceDE w:val="0"/>
              <w:autoSpaceDN w:val="0"/>
              <w:spacing w:line="240" w:lineRule="exact"/>
              <w:rPr>
                <w:rFonts w:hint="eastAsia" w:ascii="仿宋_GB2312" w:hAnsi="仿宋_GB2312" w:eastAsia="仿宋_GB2312"/>
                <w:spacing w:val="-20"/>
                <w:sz w:val="20"/>
                <w:szCs w:val="20"/>
              </w:rPr>
            </w:pPr>
            <w:r>
              <w:rPr>
                <w:rFonts w:hint="eastAsia"/>
                <w:color w:val="000000"/>
                <w:sz w:val="20"/>
                <w:szCs w:val="20"/>
              </w:rPr>
              <w:t>5.事后监管责任：开展定期和不定期检查，根据检查情况，做出资质注销等决定。</w:t>
            </w:r>
          </w:p>
        </w:tc>
        <w:tc>
          <w:tcPr>
            <w:tcW w:w="1161" w:type="dxa"/>
            <w:vAlign w:val="center"/>
          </w:tcPr>
          <w:p>
            <w:pPr>
              <w:spacing w:line="300" w:lineRule="exact"/>
              <w:jc w:val="center"/>
              <w:rPr>
                <w:rFonts w:hint="eastAsia" w:ascii="仿宋_GB2312" w:hAnsi="黑体" w:eastAsia="仿宋_GB2312" w:cs="宋体"/>
                <w:sz w:val="20"/>
                <w:szCs w:val="20"/>
              </w:rPr>
            </w:pPr>
            <w:r>
              <w:rPr>
                <w:rFonts w:hint="eastAsia" w:ascii="仿宋_GB2312" w:hAnsi="黑体" w:eastAsia="仿宋_GB2312" w:cs="宋体"/>
                <w:sz w:val="20"/>
                <w:szCs w:val="20"/>
              </w:rPr>
              <w:t>市场秩序</w:t>
            </w:r>
            <w:r>
              <w:rPr>
                <w:rFonts w:hint="eastAsia" w:ascii="仿宋_GB2312" w:hAnsi="黑体" w:eastAsia="仿宋_GB2312" w:cs="宋体"/>
                <w:sz w:val="20"/>
                <w:szCs w:val="20"/>
                <w:lang w:val="en-US" w:eastAsia="zh-CN"/>
              </w:rPr>
              <w:t>股</w:t>
            </w:r>
          </w:p>
        </w:tc>
        <w:tc>
          <w:tcPr>
            <w:tcW w:w="849" w:type="dxa"/>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3</w:t>
            </w:r>
          </w:p>
        </w:tc>
        <w:tc>
          <w:tcPr>
            <w:tcW w:w="813" w:type="dxa"/>
            <w:vMerge w:val="continue"/>
            <w:vAlign w:val="center"/>
          </w:tcPr>
          <w:p>
            <w:pPr>
              <w:spacing w:line="560" w:lineRule="exact"/>
              <w:jc w:val="center"/>
              <w:rPr>
                <w:rFonts w:hint="eastAsia" w:ascii="仿宋_GB2312" w:hAnsi="黑体" w:eastAsia="仿宋_GB2312" w:cs="宋体"/>
                <w:sz w:val="22"/>
              </w:rPr>
            </w:pPr>
          </w:p>
        </w:tc>
        <w:tc>
          <w:tcPr>
            <w:tcW w:w="1450"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p>
        </w:tc>
        <w:tc>
          <w:tcPr>
            <w:tcW w:w="3775" w:type="dxa"/>
            <w:vAlign w:val="center"/>
          </w:tcPr>
          <w:p>
            <w:pPr>
              <w:autoSpaceDE w:val="0"/>
              <w:autoSpaceDN w:val="0"/>
              <w:spacing w:line="240" w:lineRule="exact"/>
              <w:rPr>
                <w:rFonts w:hint="eastAsia" w:ascii="仿宋_GB2312" w:hAnsi="仿宋_GB2312" w:eastAsia="仿宋_GB2312"/>
                <w:spacing w:val="-20"/>
                <w:sz w:val="20"/>
                <w:szCs w:val="20"/>
              </w:rPr>
            </w:pPr>
            <w:r>
              <w:rPr>
                <w:rFonts w:hint="eastAsia"/>
                <w:color w:val="000000"/>
                <w:sz w:val="20"/>
                <w:szCs w:val="20"/>
              </w:rPr>
              <w:t>6.其他法律法规规章文件规定应履行的责任。</w:t>
            </w:r>
          </w:p>
        </w:tc>
        <w:tc>
          <w:tcPr>
            <w:tcW w:w="1161" w:type="dxa"/>
            <w:vAlign w:val="center"/>
          </w:tcPr>
          <w:p>
            <w:pPr>
              <w:spacing w:line="300" w:lineRule="exact"/>
              <w:jc w:val="center"/>
              <w:rPr>
                <w:rFonts w:hint="eastAsia" w:ascii="仿宋_GB2312" w:hAnsi="黑体" w:eastAsia="仿宋_GB2312" w:cs="宋体"/>
                <w:sz w:val="20"/>
                <w:szCs w:val="20"/>
              </w:rPr>
            </w:pPr>
            <w:r>
              <w:rPr>
                <w:rFonts w:hint="eastAsia" w:ascii="仿宋_GB2312" w:hAnsi="黑体" w:eastAsia="仿宋_GB2312" w:cs="宋体"/>
                <w:sz w:val="20"/>
                <w:szCs w:val="20"/>
              </w:rPr>
              <w:t>市场秩序</w:t>
            </w:r>
            <w:r>
              <w:rPr>
                <w:rFonts w:hint="eastAsia" w:ascii="仿宋_GB2312" w:hAnsi="黑体" w:eastAsia="仿宋_GB2312" w:cs="宋体"/>
                <w:sz w:val="20"/>
                <w:szCs w:val="20"/>
                <w:lang w:val="en-US" w:eastAsia="zh-CN"/>
              </w:rPr>
              <w:t>股</w:t>
            </w:r>
          </w:p>
        </w:tc>
        <w:tc>
          <w:tcPr>
            <w:tcW w:w="849" w:type="dxa"/>
            <w:vAlign w:val="center"/>
          </w:tcPr>
          <w:p>
            <w:pPr>
              <w:spacing w:line="560" w:lineRule="exact"/>
              <w:jc w:val="center"/>
              <w:rPr>
                <w:rFonts w:hint="eastAsia" w:ascii="仿宋_GB2312" w:hAnsi="黑体" w:eastAsia="仿宋_GB2312" w:cs="宋体"/>
                <w:sz w:val="22"/>
              </w:rPr>
            </w:pPr>
          </w:p>
        </w:tc>
        <w:tc>
          <w:tcPr>
            <w:tcW w:w="813" w:type="dxa"/>
            <w:vMerge w:val="continue"/>
            <w:vAlign w:val="center"/>
          </w:tcPr>
          <w:p>
            <w:pPr>
              <w:spacing w:line="560" w:lineRule="exact"/>
              <w:jc w:val="center"/>
              <w:rPr>
                <w:rFonts w:hint="eastAsia" w:ascii="仿宋_GB2312" w:hAnsi="黑体" w:eastAsia="仿宋_GB2312" w:cs="宋体"/>
                <w:sz w:val="22"/>
              </w:rPr>
            </w:pPr>
          </w:p>
        </w:tc>
        <w:tc>
          <w:tcPr>
            <w:tcW w:w="1450"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12" w:hRule="atLeast"/>
          <w:jc w:val="center"/>
        </w:trPr>
        <w:tc>
          <w:tcPr>
            <w:tcW w:w="14174" w:type="dxa"/>
            <w:gridSpan w:val="9"/>
            <w:textDirection w:val="lrTb"/>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服务电话：</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投诉机构：</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商务举报投诉服务站</w:t>
            </w:r>
            <w:r>
              <w:rPr>
                <w:rFonts w:hint="eastAsia" w:ascii="仿宋_GB2312" w:hAnsi="黑体" w:eastAsia="仿宋_GB2312" w:cs="宋体"/>
                <w:sz w:val="22"/>
              </w:rPr>
              <w:t xml:space="preserve">      投诉电话：0394-</w:t>
            </w:r>
            <w:r>
              <w:rPr>
                <w:rFonts w:hint="eastAsia" w:ascii="仿宋_GB2312" w:hAnsi="黑体" w:eastAsia="仿宋_GB2312" w:cs="宋体"/>
                <w:sz w:val="22"/>
                <w:lang w:val="en-US" w:eastAsia="zh-CN"/>
              </w:rPr>
              <w:t>3229596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12" w:hRule="atLeast"/>
          <w:jc w:val="center"/>
        </w:trPr>
        <w:tc>
          <w:tcPr>
            <w:tcW w:w="14174" w:type="dxa"/>
            <w:gridSpan w:val="9"/>
            <w:textDirection w:val="lrTb"/>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受理地点：</w:t>
            </w:r>
            <w:r>
              <w:rPr>
                <w:rFonts w:hint="eastAsia" w:ascii="仿宋_GB2312" w:hAnsi="黑体" w:eastAsia="仿宋_GB2312" w:cs="宋体"/>
                <w:sz w:val="22"/>
                <w:lang w:val="en-US" w:eastAsia="zh-CN"/>
              </w:rPr>
              <w:t>郸城县世纪大道南段商务局二楼</w:t>
            </w:r>
          </w:p>
        </w:tc>
      </w:tr>
    </w:tbl>
    <w:p>
      <w:pPr>
        <w:spacing w:line="560" w:lineRule="exact"/>
        <w:jc w:val="center"/>
        <w:rPr>
          <w:rFonts w:hint="eastAsia" w:ascii="黑体" w:eastAsia="黑体"/>
          <w:sz w:val="32"/>
          <w:szCs w:val="32"/>
          <w:lang w:val="zh-CN"/>
        </w:rPr>
      </w:pPr>
      <w:r>
        <w:rPr>
          <w:rFonts w:hint="eastAsia" w:ascii="黑体" w:eastAsia="黑体"/>
          <w:sz w:val="32"/>
          <w:szCs w:val="32"/>
          <w:lang w:val="zh-CN"/>
        </w:rPr>
        <w:br w:type="page"/>
      </w:r>
      <w:r>
        <w:rPr>
          <w:rFonts w:hint="eastAsia" w:ascii="黑体" w:eastAsia="黑体"/>
          <w:sz w:val="32"/>
          <w:szCs w:val="32"/>
          <w:lang w:val="en-US" w:eastAsia="zh-CN"/>
        </w:rPr>
        <w:t>郸城县</w:t>
      </w:r>
      <w:r>
        <w:rPr>
          <w:rFonts w:hint="eastAsia" w:ascii="黑体" w:eastAsia="黑体"/>
          <w:sz w:val="32"/>
          <w:szCs w:val="32"/>
          <w:lang w:val="zh-CN"/>
        </w:rPr>
        <w:t>商务局责任清单</w:t>
      </w:r>
    </w:p>
    <w:p>
      <w:pPr>
        <w:spacing w:line="560" w:lineRule="exact"/>
        <w:ind w:firstLine="440" w:firstLineChars="200"/>
        <w:rPr>
          <w:rFonts w:hint="eastAsia" w:ascii="仿宋_GB2312" w:hAnsi="黑体" w:eastAsia="仿宋_GB2312" w:cs="宋体"/>
          <w:sz w:val="22"/>
        </w:rPr>
      </w:pPr>
      <w:r>
        <w:rPr>
          <w:rFonts w:hint="eastAsia" w:ascii="仿宋_GB2312" w:hAnsi="黑体" w:eastAsia="仿宋_GB2312" w:cs="宋体"/>
          <w:sz w:val="22"/>
        </w:rPr>
        <w:t>职权类别：其他职权</w:t>
      </w:r>
    </w:p>
    <w:tbl>
      <w:tblPr>
        <w:tblStyle w:val="6"/>
        <w:tblW w:w="14174"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18"/>
        <w:gridCol w:w="1199"/>
        <w:gridCol w:w="3135"/>
        <w:gridCol w:w="1074"/>
        <w:gridCol w:w="3775"/>
        <w:gridCol w:w="1161"/>
        <w:gridCol w:w="849"/>
        <w:gridCol w:w="813"/>
        <w:gridCol w:w="145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8" w:hRule="atLeast"/>
          <w:jc w:val="center"/>
        </w:trPr>
        <w:tc>
          <w:tcPr>
            <w:tcW w:w="718"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序号</w:t>
            </w:r>
          </w:p>
        </w:tc>
        <w:tc>
          <w:tcPr>
            <w:tcW w:w="119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职权名称</w:t>
            </w:r>
          </w:p>
        </w:tc>
        <w:tc>
          <w:tcPr>
            <w:tcW w:w="313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实施依据</w:t>
            </w:r>
          </w:p>
        </w:tc>
        <w:tc>
          <w:tcPr>
            <w:tcW w:w="1074"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办理</w:t>
            </w:r>
          </w:p>
          <w:p>
            <w:pPr>
              <w:spacing w:line="360" w:lineRule="exact"/>
              <w:jc w:val="center"/>
              <w:rPr>
                <w:rFonts w:hint="eastAsia" w:ascii="黑体" w:hAnsi="黑体" w:eastAsia="黑体" w:cs="黑体"/>
                <w:sz w:val="22"/>
              </w:rPr>
            </w:pPr>
            <w:r>
              <w:rPr>
                <w:rFonts w:hint="eastAsia" w:ascii="黑体" w:hAnsi="黑体" w:eastAsia="黑体" w:cs="黑体"/>
                <w:sz w:val="22"/>
              </w:rPr>
              <w:t>环节</w:t>
            </w:r>
          </w:p>
        </w:tc>
        <w:tc>
          <w:tcPr>
            <w:tcW w:w="377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责任事项</w:t>
            </w:r>
          </w:p>
        </w:tc>
        <w:tc>
          <w:tcPr>
            <w:tcW w:w="1161"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w:t>
            </w:r>
            <w:r>
              <w:rPr>
                <w:rFonts w:hint="eastAsia" w:ascii="黑体" w:hAnsi="黑体" w:eastAsia="黑体" w:cs="黑体"/>
                <w:sz w:val="22"/>
                <w:lang w:val="en-US" w:eastAsia="zh-CN"/>
              </w:rPr>
              <w:t>股室</w:t>
            </w:r>
          </w:p>
        </w:tc>
        <w:tc>
          <w:tcPr>
            <w:tcW w:w="84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承诺时限</w:t>
            </w:r>
          </w:p>
        </w:tc>
        <w:tc>
          <w:tcPr>
            <w:tcW w:w="813"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法定时限</w:t>
            </w:r>
          </w:p>
        </w:tc>
        <w:tc>
          <w:tcPr>
            <w:tcW w:w="1450"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restart"/>
            <w:vAlign w:val="center"/>
          </w:tcPr>
          <w:p>
            <w:pPr>
              <w:spacing w:line="560" w:lineRule="exact"/>
              <w:jc w:val="center"/>
              <w:rPr>
                <w:rFonts w:hint="eastAsia" w:ascii="仿宋_GB2312" w:hAnsi="黑体" w:eastAsia="仿宋_GB2312" w:cs="宋体"/>
                <w:sz w:val="22"/>
                <w:lang w:eastAsia="zh-CN"/>
              </w:rPr>
            </w:pPr>
            <w:r>
              <w:rPr>
                <w:rFonts w:hint="eastAsia" w:ascii="仿宋_GB2312" w:hAnsi="黑体" w:eastAsia="仿宋_GB2312" w:cs="宋体"/>
                <w:sz w:val="22"/>
                <w:lang w:val="en-US" w:eastAsia="zh-CN"/>
              </w:rPr>
              <w:t>69</w:t>
            </w:r>
          </w:p>
        </w:tc>
        <w:tc>
          <w:tcPr>
            <w:tcW w:w="1199" w:type="dxa"/>
            <w:vMerge w:val="restart"/>
            <w:vAlign w:val="center"/>
          </w:tcPr>
          <w:p>
            <w:pPr>
              <w:widowControl/>
              <w:jc w:val="left"/>
              <w:textAlignment w:val="center"/>
              <w:rPr>
                <w:rFonts w:hint="eastAsia" w:ascii="仿宋_GB2312" w:hAnsi="黑体" w:eastAsia="仿宋_GB2312" w:cs="宋体"/>
                <w:spacing w:val="-20"/>
                <w:sz w:val="22"/>
              </w:rPr>
            </w:pPr>
            <w:r>
              <w:rPr>
                <w:rFonts w:hint="eastAsia" w:ascii="宋体" w:hAnsi="宋体" w:cs="宋体"/>
                <w:color w:val="000000"/>
                <w:kern w:val="0"/>
                <w:sz w:val="22"/>
                <w:szCs w:val="22"/>
                <w:lang w:bidi="ar"/>
              </w:rPr>
              <w:t>协调处理外商投诉案件</w:t>
            </w:r>
          </w:p>
        </w:tc>
        <w:tc>
          <w:tcPr>
            <w:tcW w:w="3135" w:type="dxa"/>
            <w:vMerge w:val="restart"/>
            <w:vAlign w:val="center"/>
          </w:tcPr>
          <w:p>
            <w:pPr>
              <w:widowControl/>
              <w:spacing w:line="240" w:lineRule="exact"/>
              <w:jc w:val="left"/>
              <w:textAlignment w:val="center"/>
              <w:rPr>
                <w:rFonts w:hint="eastAsia" w:ascii="仿宋_GB2312" w:hAnsi="黑体" w:eastAsia="仿宋_GB2312" w:cs="宋体"/>
                <w:spacing w:val="-20"/>
                <w:sz w:val="22"/>
              </w:rPr>
            </w:pPr>
            <w:r>
              <w:rPr>
                <w:rFonts w:hint="eastAsia" w:ascii="宋体" w:hAnsi="宋体" w:cs="宋体"/>
                <w:color w:val="000000"/>
                <w:kern w:val="0"/>
                <w:sz w:val="22"/>
                <w:szCs w:val="22"/>
                <w:lang w:bidi="ar"/>
              </w:rPr>
              <w:t xml:space="preserve"> </w:t>
            </w:r>
            <w:r>
              <w:rPr>
                <w:rFonts w:hint="eastAsia"/>
                <w:color w:val="000000"/>
                <w:sz w:val="20"/>
                <w:szCs w:val="20"/>
              </w:rPr>
              <w:t>《外商投资企业投诉工作暂行办法》（商务部令</w:t>
            </w:r>
            <w:r>
              <w:rPr>
                <w:rFonts w:hint="eastAsia"/>
                <w:color w:val="000000"/>
                <w:sz w:val="20"/>
                <w:szCs w:val="20"/>
                <w:lang w:val="en-US" w:eastAsia="zh-CN"/>
              </w:rPr>
              <w:t>2006年</w:t>
            </w:r>
            <w:r>
              <w:rPr>
                <w:rFonts w:hint="eastAsia"/>
                <w:color w:val="000000"/>
                <w:sz w:val="20"/>
                <w:szCs w:val="20"/>
              </w:rPr>
              <w:t>第2号）第五条：“全国外商投资企业投诉中心和地方各级政府具有受理职能的部门依据实际情况受理外商投资企业投诉。……地方投诉受理机构负责受理本地外商投资企业投诉事项，受理全国外商投资企业投诉中心转交或督办的投诉事项……”</w:t>
            </w: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仿宋_GB2312" w:hAnsi="仿宋_GB2312" w:eastAsia="仿宋_GB2312"/>
                <w:spacing w:val="-20"/>
                <w:sz w:val="20"/>
                <w:szCs w:val="20"/>
              </w:rPr>
              <w:t>受理</w:t>
            </w:r>
          </w:p>
        </w:tc>
        <w:tc>
          <w:tcPr>
            <w:tcW w:w="3775" w:type="dxa"/>
            <w:vAlign w:val="center"/>
          </w:tcPr>
          <w:p>
            <w:pPr>
              <w:autoSpaceDE w:val="0"/>
              <w:autoSpaceDN w:val="0"/>
              <w:spacing w:line="240" w:lineRule="exact"/>
              <w:rPr>
                <w:rFonts w:hint="eastAsia" w:ascii="仿宋_GB2312" w:hAnsi="黑体" w:eastAsia="仿宋_GB2312" w:cs="宋体"/>
                <w:sz w:val="22"/>
              </w:rPr>
            </w:pPr>
            <w:r>
              <w:rPr>
                <w:rFonts w:hint="eastAsia"/>
                <w:color w:val="000000"/>
                <w:sz w:val="20"/>
                <w:szCs w:val="20"/>
              </w:rPr>
              <w:t>1.受理阶段责任：公示依法应当提交的材料；一次性告知补正材料；依法受理或不予受理（不予受理的告知理由）。</w:t>
            </w:r>
          </w:p>
        </w:tc>
        <w:tc>
          <w:tcPr>
            <w:tcW w:w="1161" w:type="dxa"/>
            <w:vAlign w:val="center"/>
          </w:tcPr>
          <w:p>
            <w:pPr>
              <w:spacing w:line="300" w:lineRule="exact"/>
              <w:jc w:val="center"/>
              <w:rPr>
                <w:rFonts w:hint="eastAsia" w:ascii="仿宋_GB2312" w:hAnsi="黑体" w:eastAsia="仿宋_GB2312" w:cs="宋体"/>
                <w:sz w:val="20"/>
                <w:szCs w:val="20"/>
              </w:rPr>
            </w:pPr>
            <w:r>
              <w:rPr>
                <w:rFonts w:hint="eastAsia" w:ascii="仿宋_GB2312" w:hAnsi="黑体" w:eastAsia="仿宋_GB2312" w:cs="宋体"/>
                <w:sz w:val="20"/>
                <w:szCs w:val="20"/>
              </w:rPr>
              <w:t>外商投诉受理中心</w:t>
            </w:r>
          </w:p>
        </w:tc>
        <w:tc>
          <w:tcPr>
            <w:tcW w:w="849" w:type="dxa"/>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3</w:t>
            </w:r>
          </w:p>
        </w:tc>
        <w:tc>
          <w:tcPr>
            <w:tcW w:w="813" w:type="dxa"/>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3</w:t>
            </w:r>
          </w:p>
        </w:tc>
        <w:tc>
          <w:tcPr>
            <w:tcW w:w="1450" w:type="dxa"/>
            <w:vMerge w:val="restart"/>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仿宋_GB2312" w:hAnsi="仿宋_GB2312" w:eastAsia="仿宋_GB2312"/>
                <w:spacing w:val="-20"/>
                <w:sz w:val="20"/>
                <w:szCs w:val="20"/>
              </w:rPr>
              <w:t>审查</w:t>
            </w:r>
          </w:p>
        </w:tc>
        <w:tc>
          <w:tcPr>
            <w:tcW w:w="3775" w:type="dxa"/>
            <w:vAlign w:val="center"/>
          </w:tcPr>
          <w:p>
            <w:pPr>
              <w:autoSpaceDE w:val="0"/>
              <w:autoSpaceDN w:val="0"/>
              <w:spacing w:line="240" w:lineRule="exact"/>
              <w:rPr>
                <w:rFonts w:hint="eastAsia" w:ascii="仿宋_GB2312" w:hAnsi="仿宋_GB2312" w:eastAsia="仿宋_GB2312"/>
                <w:spacing w:val="-20"/>
                <w:sz w:val="20"/>
                <w:szCs w:val="20"/>
              </w:rPr>
            </w:pPr>
            <w:r>
              <w:rPr>
                <w:rFonts w:hint="eastAsia"/>
                <w:color w:val="000000"/>
                <w:sz w:val="20"/>
                <w:szCs w:val="20"/>
              </w:rPr>
              <w:t>2.审查阶段责任：</w:t>
            </w:r>
            <w:r>
              <w:rPr>
                <w:rFonts w:hint="eastAsia"/>
                <w:color w:val="000000"/>
                <w:sz w:val="20"/>
                <w:szCs w:val="20"/>
                <w:lang w:eastAsia="zh-CN"/>
              </w:rPr>
              <w:t>对投诉</w:t>
            </w:r>
            <w:r>
              <w:rPr>
                <w:rFonts w:hint="eastAsia"/>
                <w:color w:val="000000"/>
                <w:sz w:val="20"/>
                <w:szCs w:val="20"/>
              </w:rPr>
              <w:t>材料审核</w:t>
            </w:r>
            <w:r>
              <w:rPr>
                <w:rFonts w:hint="eastAsia"/>
                <w:color w:val="000000"/>
                <w:sz w:val="20"/>
                <w:szCs w:val="20"/>
                <w:lang w:eastAsia="zh-CN"/>
              </w:rPr>
              <w:t>，对投诉案件调查</w:t>
            </w:r>
            <w:r>
              <w:rPr>
                <w:rFonts w:hint="eastAsia"/>
                <w:color w:val="000000"/>
                <w:sz w:val="20"/>
                <w:szCs w:val="20"/>
                <w:lang w:val="en-US" w:eastAsia="zh-CN"/>
              </w:rPr>
              <w:t>核实</w:t>
            </w:r>
            <w:r>
              <w:rPr>
                <w:rFonts w:hint="eastAsia"/>
                <w:color w:val="000000"/>
                <w:sz w:val="20"/>
                <w:szCs w:val="20"/>
              </w:rPr>
              <w:t>。</w:t>
            </w:r>
          </w:p>
        </w:tc>
        <w:tc>
          <w:tcPr>
            <w:tcW w:w="1161" w:type="dxa"/>
            <w:vAlign w:val="center"/>
          </w:tcPr>
          <w:p>
            <w:pPr>
              <w:spacing w:line="300" w:lineRule="exact"/>
              <w:jc w:val="center"/>
              <w:rPr>
                <w:rFonts w:hint="eastAsia" w:ascii="仿宋_GB2312" w:hAnsi="黑体" w:eastAsia="仿宋_GB2312" w:cs="宋体"/>
                <w:sz w:val="20"/>
                <w:szCs w:val="20"/>
              </w:rPr>
            </w:pPr>
            <w:r>
              <w:rPr>
                <w:rFonts w:hint="eastAsia" w:ascii="仿宋_GB2312" w:hAnsi="黑体" w:eastAsia="仿宋_GB2312" w:cs="宋体"/>
                <w:sz w:val="20"/>
                <w:szCs w:val="20"/>
              </w:rPr>
              <w:t>外商投诉受理中心</w:t>
            </w:r>
          </w:p>
        </w:tc>
        <w:tc>
          <w:tcPr>
            <w:tcW w:w="849" w:type="dxa"/>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20</w:t>
            </w:r>
          </w:p>
        </w:tc>
        <w:tc>
          <w:tcPr>
            <w:tcW w:w="813" w:type="dxa"/>
            <w:vAlign w:val="center"/>
          </w:tcPr>
          <w:p>
            <w:pPr>
              <w:spacing w:line="560" w:lineRule="exact"/>
              <w:jc w:val="center"/>
              <w:rPr>
                <w:rFonts w:hint="eastAsia" w:ascii="仿宋_GB2312" w:hAnsi="黑体" w:eastAsia="仿宋_GB2312" w:cs="宋体"/>
                <w:sz w:val="22"/>
              </w:rPr>
            </w:pPr>
          </w:p>
        </w:tc>
        <w:tc>
          <w:tcPr>
            <w:tcW w:w="1450"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lang w:eastAsia="zh-CN"/>
              </w:rPr>
            </w:pPr>
            <w:r>
              <w:rPr>
                <w:rFonts w:hint="eastAsia" w:ascii="仿宋_GB2312" w:hAnsi="仿宋_GB2312" w:eastAsia="仿宋_GB2312"/>
                <w:spacing w:val="-20"/>
                <w:sz w:val="20"/>
                <w:szCs w:val="20"/>
                <w:lang w:eastAsia="zh-CN"/>
              </w:rPr>
              <w:t>处置</w:t>
            </w:r>
          </w:p>
        </w:tc>
        <w:tc>
          <w:tcPr>
            <w:tcW w:w="3775" w:type="dxa"/>
            <w:vAlign w:val="center"/>
          </w:tcPr>
          <w:p>
            <w:pPr>
              <w:autoSpaceDE w:val="0"/>
              <w:autoSpaceDN w:val="0"/>
              <w:spacing w:line="240" w:lineRule="exact"/>
              <w:rPr>
                <w:rFonts w:hint="eastAsia" w:ascii="仿宋_GB2312" w:hAnsi="仿宋_GB2312" w:eastAsia="仿宋_GB2312"/>
                <w:spacing w:val="-20"/>
                <w:sz w:val="20"/>
                <w:szCs w:val="20"/>
              </w:rPr>
            </w:pPr>
            <w:r>
              <w:rPr>
                <w:rFonts w:hint="eastAsia"/>
                <w:color w:val="000000"/>
                <w:sz w:val="20"/>
                <w:szCs w:val="20"/>
              </w:rPr>
              <w:t>3.</w:t>
            </w:r>
            <w:r>
              <w:rPr>
                <w:rFonts w:hint="eastAsia"/>
                <w:color w:val="000000"/>
                <w:sz w:val="20"/>
                <w:szCs w:val="20"/>
                <w:lang w:eastAsia="zh-CN"/>
              </w:rPr>
              <w:t>处置</w:t>
            </w:r>
            <w:r>
              <w:rPr>
                <w:rFonts w:hint="eastAsia"/>
                <w:color w:val="000000"/>
                <w:sz w:val="20"/>
                <w:szCs w:val="20"/>
              </w:rPr>
              <w:t>阶段责任：</w:t>
            </w:r>
            <w:r>
              <w:rPr>
                <w:rFonts w:hint="eastAsia"/>
                <w:color w:val="000000"/>
                <w:sz w:val="20"/>
                <w:szCs w:val="20"/>
                <w:lang w:eastAsia="zh-CN"/>
              </w:rPr>
              <w:t>依法协调处理</w:t>
            </w:r>
            <w:r>
              <w:rPr>
                <w:rFonts w:hint="eastAsia"/>
                <w:color w:val="000000"/>
                <w:sz w:val="20"/>
                <w:szCs w:val="20"/>
              </w:rPr>
              <w:t>；按时办结；法定告知。</w:t>
            </w:r>
          </w:p>
        </w:tc>
        <w:tc>
          <w:tcPr>
            <w:tcW w:w="1161" w:type="dxa"/>
            <w:vAlign w:val="center"/>
          </w:tcPr>
          <w:p>
            <w:pPr>
              <w:spacing w:line="300" w:lineRule="exact"/>
              <w:jc w:val="center"/>
              <w:rPr>
                <w:rFonts w:hint="eastAsia" w:ascii="仿宋_GB2312" w:hAnsi="黑体" w:eastAsia="仿宋_GB2312" w:cs="宋体"/>
                <w:sz w:val="20"/>
                <w:szCs w:val="20"/>
              </w:rPr>
            </w:pPr>
            <w:r>
              <w:rPr>
                <w:rFonts w:hint="eastAsia" w:ascii="仿宋_GB2312" w:hAnsi="黑体" w:eastAsia="仿宋_GB2312" w:cs="宋体"/>
                <w:sz w:val="20"/>
                <w:szCs w:val="20"/>
              </w:rPr>
              <w:t>外商投诉受理中心</w:t>
            </w:r>
          </w:p>
        </w:tc>
        <w:tc>
          <w:tcPr>
            <w:tcW w:w="849" w:type="dxa"/>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30</w:t>
            </w:r>
          </w:p>
        </w:tc>
        <w:tc>
          <w:tcPr>
            <w:tcW w:w="813" w:type="dxa"/>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30</w:t>
            </w:r>
          </w:p>
        </w:tc>
        <w:tc>
          <w:tcPr>
            <w:tcW w:w="1450"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仿宋_GB2312" w:hAnsi="仿宋_GB2312" w:eastAsia="仿宋_GB2312"/>
                <w:spacing w:val="-20"/>
                <w:sz w:val="20"/>
                <w:szCs w:val="20"/>
              </w:rPr>
              <w:t>送达</w:t>
            </w:r>
          </w:p>
        </w:tc>
        <w:tc>
          <w:tcPr>
            <w:tcW w:w="3775" w:type="dxa"/>
            <w:vAlign w:val="center"/>
          </w:tcPr>
          <w:p>
            <w:pPr>
              <w:autoSpaceDE w:val="0"/>
              <w:autoSpaceDN w:val="0"/>
              <w:spacing w:line="240" w:lineRule="exact"/>
              <w:rPr>
                <w:rFonts w:hint="eastAsia" w:ascii="仿宋_GB2312" w:hAnsi="仿宋_GB2312" w:eastAsia="仿宋_GB2312"/>
                <w:spacing w:val="-20"/>
                <w:sz w:val="20"/>
                <w:szCs w:val="20"/>
              </w:rPr>
            </w:pPr>
            <w:r>
              <w:rPr>
                <w:rFonts w:hint="eastAsia"/>
                <w:color w:val="000000"/>
                <w:sz w:val="20"/>
                <w:szCs w:val="20"/>
              </w:rPr>
              <w:t>4.送达阶段责任：</w:t>
            </w:r>
            <w:r>
              <w:rPr>
                <w:rFonts w:hint="eastAsia"/>
                <w:color w:val="000000"/>
                <w:sz w:val="20"/>
                <w:szCs w:val="20"/>
                <w:lang w:eastAsia="zh-CN"/>
              </w:rPr>
              <w:t>反馈协调处理结果</w:t>
            </w:r>
            <w:r>
              <w:rPr>
                <w:rFonts w:hint="eastAsia"/>
                <w:color w:val="000000"/>
                <w:sz w:val="20"/>
                <w:szCs w:val="20"/>
              </w:rPr>
              <w:t>；信息公开。</w:t>
            </w:r>
          </w:p>
        </w:tc>
        <w:tc>
          <w:tcPr>
            <w:tcW w:w="1161" w:type="dxa"/>
            <w:vAlign w:val="center"/>
          </w:tcPr>
          <w:p>
            <w:pPr>
              <w:spacing w:line="300" w:lineRule="exact"/>
              <w:jc w:val="center"/>
              <w:rPr>
                <w:rFonts w:hint="eastAsia" w:ascii="仿宋_GB2312" w:hAnsi="黑体" w:eastAsia="仿宋_GB2312" w:cs="宋体"/>
                <w:sz w:val="20"/>
                <w:szCs w:val="20"/>
              </w:rPr>
            </w:pPr>
            <w:r>
              <w:rPr>
                <w:rFonts w:hint="eastAsia" w:ascii="仿宋_GB2312" w:hAnsi="黑体" w:eastAsia="仿宋_GB2312" w:cs="宋体"/>
                <w:sz w:val="20"/>
                <w:szCs w:val="20"/>
              </w:rPr>
              <w:t>外商投诉受理中心</w:t>
            </w:r>
          </w:p>
        </w:tc>
        <w:tc>
          <w:tcPr>
            <w:tcW w:w="849" w:type="dxa"/>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3</w:t>
            </w:r>
          </w:p>
        </w:tc>
        <w:tc>
          <w:tcPr>
            <w:tcW w:w="813" w:type="dxa"/>
            <w:vAlign w:val="center"/>
          </w:tcPr>
          <w:p>
            <w:pPr>
              <w:spacing w:line="560" w:lineRule="exact"/>
              <w:jc w:val="center"/>
              <w:rPr>
                <w:rFonts w:hint="eastAsia" w:ascii="仿宋_GB2312" w:hAnsi="黑体" w:eastAsia="仿宋_GB2312" w:cs="宋体"/>
                <w:sz w:val="22"/>
                <w:lang w:val="en-US" w:eastAsia="zh-CN"/>
              </w:rPr>
            </w:pPr>
            <w:r>
              <w:rPr>
                <w:rFonts w:hint="eastAsia" w:ascii="仿宋_GB2312" w:hAnsi="黑体" w:eastAsia="仿宋_GB2312" w:cs="宋体"/>
                <w:sz w:val="22"/>
                <w:lang w:val="en-US" w:eastAsia="zh-CN"/>
              </w:rPr>
              <w:t>3</w:t>
            </w:r>
          </w:p>
        </w:tc>
        <w:tc>
          <w:tcPr>
            <w:tcW w:w="1450"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p>
        </w:tc>
        <w:tc>
          <w:tcPr>
            <w:tcW w:w="3775" w:type="dxa"/>
            <w:vAlign w:val="center"/>
          </w:tcPr>
          <w:p>
            <w:pPr>
              <w:autoSpaceDE w:val="0"/>
              <w:autoSpaceDN w:val="0"/>
              <w:spacing w:line="240" w:lineRule="exact"/>
              <w:rPr>
                <w:rFonts w:hint="eastAsia" w:ascii="仿宋_GB2312" w:hAnsi="仿宋_GB2312" w:eastAsia="仿宋_GB2312"/>
                <w:spacing w:val="-20"/>
                <w:sz w:val="20"/>
                <w:szCs w:val="20"/>
              </w:rPr>
            </w:pPr>
            <w:r>
              <w:rPr>
                <w:rFonts w:hint="eastAsia"/>
                <w:color w:val="000000"/>
                <w:sz w:val="20"/>
                <w:szCs w:val="20"/>
                <w:lang w:val="en-US" w:eastAsia="zh-CN"/>
              </w:rPr>
              <w:t>5</w:t>
            </w:r>
            <w:r>
              <w:rPr>
                <w:rFonts w:hint="eastAsia"/>
                <w:color w:val="000000"/>
                <w:sz w:val="20"/>
                <w:szCs w:val="20"/>
              </w:rPr>
              <w:t>.其他法律法规规章文件规定应履行的责任。</w:t>
            </w:r>
          </w:p>
        </w:tc>
        <w:tc>
          <w:tcPr>
            <w:tcW w:w="1161" w:type="dxa"/>
            <w:vAlign w:val="center"/>
          </w:tcPr>
          <w:p>
            <w:pPr>
              <w:spacing w:line="300" w:lineRule="exact"/>
              <w:jc w:val="center"/>
              <w:rPr>
                <w:rFonts w:hint="eastAsia" w:ascii="仿宋_GB2312" w:hAnsi="黑体" w:eastAsia="仿宋_GB2312" w:cs="宋体"/>
                <w:sz w:val="20"/>
                <w:szCs w:val="20"/>
              </w:rPr>
            </w:pPr>
            <w:r>
              <w:rPr>
                <w:rFonts w:hint="eastAsia" w:ascii="仿宋_GB2312" w:hAnsi="黑体" w:eastAsia="仿宋_GB2312" w:cs="宋体"/>
                <w:sz w:val="20"/>
                <w:szCs w:val="20"/>
              </w:rPr>
              <w:t>外商投诉受理中心</w:t>
            </w:r>
          </w:p>
        </w:tc>
        <w:tc>
          <w:tcPr>
            <w:tcW w:w="849" w:type="dxa"/>
            <w:vAlign w:val="center"/>
          </w:tcPr>
          <w:p>
            <w:pPr>
              <w:spacing w:line="560" w:lineRule="exact"/>
              <w:jc w:val="center"/>
              <w:rPr>
                <w:rFonts w:hint="eastAsia" w:ascii="仿宋_GB2312" w:hAnsi="黑体" w:eastAsia="仿宋_GB2312" w:cs="宋体"/>
                <w:sz w:val="22"/>
              </w:rPr>
            </w:pPr>
          </w:p>
        </w:tc>
        <w:tc>
          <w:tcPr>
            <w:tcW w:w="813" w:type="dxa"/>
            <w:vAlign w:val="center"/>
          </w:tcPr>
          <w:p>
            <w:pPr>
              <w:spacing w:line="560" w:lineRule="exact"/>
              <w:jc w:val="center"/>
              <w:rPr>
                <w:rFonts w:hint="eastAsia" w:ascii="仿宋_GB2312" w:hAnsi="黑体" w:eastAsia="仿宋_GB2312" w:cs="宋体"/>
                <w:sz w:val="22"/>
              </w:rPr>
            </w:pPr>
          </w:p>
        </w:tc>
        <w:tc>
          <w:tcPr>
            <w:tcW w:w="1450"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12" w:hRule="atLeast"/>
          <w:jc w:val="center"/>
        </w:trPr>
        <w:tc>
          <w:tcPr>
            <w:tcW w:w="14174" w:type="dxa"/>
            <w:gridSpan w:val="9"/>
            <w:textDirection w:val="lrTb"/>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服务电话：</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投诉机构：</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商务举报投诉服务站</w:t>
            </w:r>
            <w:r>
              <w:rPr>
                <w:rFonts w:hint="eastAsia" w:ascii="仿宋_GB2312" w:hAnsi="黑体" w:eastAsia="仿宋_GB2312" w:cs="宋体"/>
                <w:sz w:val="22"/>
              </w:rPr>
              <w:t xml:space="preserve">      投诉电话：0394-</w:t>
            </w:r>
            <w:r>
              <w:rPr>
                <w:rFonts w:hint="eastAsia" w:ascii="仿宋_GB2312" w:hAnsi="黑体" w:eastAsia="仿宋_GB2312" w:cs="宋体"/>
                <w:sz w:val="22"/>
                <w:lang w:val="en-US" w:eastAsia="zh-CN"/>
              </w:rPr>
              <w:t>3229596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12" w:hRule="atLeast"/>
          <w:jc w:val="center"/>
        </w:trPr>
        <w:tc>
          <w:tcPr>
            <w:tcW w:w="14174" w:type="dxa"/>
            <w:gridSpan w:val="9"/>
            <w:textDirection w:val="lrTb"/>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受理地点：</w:t>
            </w:r>
            <w:r>
              <w:rPr>
                <w:rFonts w:hint="eastAsia" w:ascii="仿宋_GB2312" w:hAnsi="黑体" w:eastAsia="仿宋_GB2312" w:cs="宋体"/>
                <w:sz w:val="22"/>
                <w:lang w:val="en-US" w:eastAsia="zh-CN"/>
              </w:rPr>
              <w:t>郸城县世纪大道南段商务局二楼</w:t>
            </w:r>
          </w:p>
        </w:tc>
      </w:tr>
    </w:tbl>
    <w:p>
      <w:pPr/>
    </w:p>
    <w:p>
      <w:pPr/>
    </w:p>
    <w:p>
      <w:pPr/>
    </w:p>
    <w:p>
      <w:pPr/>
    </w:p>
    <w:p>
      <w:pPr/>
    </w:p>
    <w:p>
      <w:pPr/>
    </w:p>
    <w:p>
      <w:pPr/>
    </w:p>
    <w:p>
      <w:pPr/>
    </w:p>
    <w:p>
      <w:pPr/>
    </w:p>
    <w:p>
      <w:pPr>
        <w:spacing w:line="560" w:lineRule="exact"/>
        <w:jc w:val="center"/>
        <w:rPr>
          <w:rFonts w:hint="eastAsia" w:ascii="黑体" w:eastAsia="黑体"/>
          <w:sz w:val="32"/>
          <w:szCs w:val="32"/>
          <w:lang w:val="zh-CN" w:eastAsia="zh-CN"/>
        </w:rPr>
      </w:pPr>
      <w:r>
        <w:rPr>
          <w:rFonts w:hint="eastAsia" w:ascii="黑体" w:eastAsia="黑体"/>
          <w:sz w:val="32"/>
          <w:szCs w:val="32"/>
          <w:lang w:val="en-US" w:eastAsia="zh-CN"/>
        </w:rPr>
        <w:t>郸城县</w:t>
      </w:r>
      <w:r>
        <w:rPr>
          <w:rFonts w:hint="eastAsia" w:ascii="黑体" w:eastAsia="黑体"/>
          <w:sz w:val="32"/>
          <w:szCs w:val="32"/>
          <w:lang w:val="zh-CN" w:eastAsia="zh-CN"/>
        </w:rPr>
        <w:t>商务局责任清单</w:t>
      </w:r>
    </w:p>
    <w:p>
      <w:pPr>
        <w:spacing w:line="560" w:lineRule="exact"/>
        <w:ind w:firstLine="440" w:firstLineChars="200"/>
        <w:rPr>
          <w:rFonts w:hint="eastAsia" w:ascii="仿宋_GB2312" w:hAnsi="黑体" w:eastAsia="仿宋_GB2312" w:cs="宋体"/>
          <w:sz w:val="22"/>
        </w:rPr>
      </w:pPr>
      <w:r>
        <w:rPr>
          <w:rFonts w:hint="eastAsia" w:ascii="仿宋_GB2312" w:hAnsi="黑体" w:eastAsia="仿宋_GB2312" w:cs="宋体"/>
          <w:sz w:val="22"/>
        </w:rPr>
        <w:t>职权类别：其他职权</w:t>
      </w:r>
    </w:p>
    <w:tbl>
      <w:tblPr>
        <w:tblStyle w:val="6"/>
        <w:tblW w:w="14174"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18"/>
        <w:gridCol w:w="1199"/>
        <w:gridCol w:w="3135"/>
        <w:gridCol w:w="1074"/>
        <w:gridCol w:w="3775"/>
        <w:gridCol w:w="1161"/>
        <w:gridCol w:w="849"/>
        <w:gridCol w:w="813"/>
        <w:gridCol w:w="145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8" w:hRule="atLeast"/>
          <w:jc w:val="center"/>
        </w:trPr>
        <w:tc>
          <w:tcPr>
            <w:tcW w:w="718"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序号</w:t>
            </w:r>
          </w:p>
        </w:tc>
        <w:tc>
          <w:tcPr>
            <w:tcW w:w="119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职权名称</w:t>
            </w:r>
          </w:p>
        </w:tc>
        <w:tc>
          <w:tcPr>
            <w:tcW w:w="313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实施依据</w:t>
            </w:r>
          </w:p>
        </w:tc>
        <w:tc>
          <w:tcPr>
            <w:tcW w:w="1074"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办理</w:t>
            </w:r>
          </w:p>
          <w:p>
            <w:pPr>
              <w:spacing w:line="360" w:lineRule="exact"/>
              <w:jc w:val="center"/>
              <w:rPr>
                <w:rFonts w:hint="eastAsia" w:ascii="黑体" w:hAnsi="黑体" w:eastAsia="黑体" w:cs="黑体"/>
                <w:sz w:val="22"/>
              </w:rPr>
            </w:pPr>
            <w:r>
              <w:rPr>
                <w:rFonts w:hint="eastAsia" w:ascii="黑体" w:hAnsi="黑体" w:eastAsia="黑体" w:cs="黑体"/>
                <w:sz w:val="22"/>
              </w:rPr>
              <w:t>环节</w:t>
            </w:r>
          </w:p>
        </w:tc>
        <w:tc>
          <w:tcPr>
            <w:tcW w:w="3775"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责任事项</w:t>
            </w:r>
          </w:p>
        </w:tc>
        <w:tc>
          <w:tcPr>
            <w:tcW w:w="1161"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责任</w:t>
            </w:r>
            <w:r>
              <w:rPr>
                <w:rFonts w:hint="eastAsia" w:ascii="黑体" w:hAnsi="黑体" w:eastAsia="黑体" w:cs="黑体"/>
                <w:sz w:val="22"/>
                <w:lang w:val="en-US" w:eastAsia="zh-CN"/>
              </w:rPr>
              <w:t>股</w:t>
            </w:r>
            <w:r>
              <w:rPr>
                <w:rFonts w:hint="eastAsia" w:ascii="黑体" w:hAnsi="黑体" w:eastAsia="黑体" w:cs="黑体"/>
                <w:sz w:val="22"/>
              </w:rPr>
              <w:t>室</w:t>
            </w:r>
          </w:p>
        </w:tc>
        <w:tc>
          <w:tcPr>
            <w:tcW w:w="849"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承诺时限</w:t>
            </w:r>
          </w:p>
        </w:tc>
        <w:tc>
          <w:tcPr>
            <w:tcW w:w="813"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法定时限</w:t>
            </w:r>
          </w:p>
        </w:tc>
        <w:tc>
          <w:tcPr>
            <w:tcW w:w="1450" w:type="dxa"/>
            <w:vAlign w:val="center"/>
          </w:tcPr>
          <w:p>
            <w:pPr>
              <w:spacing w:line="360" w:lineRule="exact"/>
              <w:jc w:val="center"/>
              <w:rPr>
                <w:rFonts w:hint="eastAsia" w:ascii="黑体" w:hAnsi="黑体" w:eastAsia="黑体" w:cs="黑体"/>
                <w:sz w:val="22"/>
              </w:rPr>
            </w:pPr>
            <w:r>
              <w:rPr>
                <w:rFonts w:hint="eastAsia" w:ascii="黑体" w:hAnsi="黑体" w:eastAsia="黑体" w:cs="黑体"/>
                <w:sz w:val="22"/>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restart"/>
            <w:vAlign w:val="center"/>
          </w:tcPr>
          <w:p>
            <w:pPr>
              <w:spacing w:line="560" w:lineRule="exact"/>
              <w:jc w:val="center"/>
              <w:rPr>
                <w:rFonts w:hint="eastAsia" w:ascii="仿宋_GB2312" w:hAnsi="黑体" w:eastAsia="仿宋_GB2312" w:cs="宋体"/>
                <w:sz w:val="22"/>
                <w:lang w:eastAsia="zh-CN"/>
              </w:rPr>
            </w:pPr>
            <w:r>
              <w:rPr>
                <w:rFonts w:hint="eastAsia" w:ascii="仿宋_GB2312" w:hAnsi="黑体" w:eastAsia="仿宋_GB2312" w:cs="宋体"/>
                <w:sz w:val="22"/>
                <w:lang w:val="en-US" w:eastAsia="zh-CN"/>
              </w:rPr>
              <w:t>70</w:t>
            </w:r>
          </w:p>
        </w:tc>
        <w:tc>
          <w:tcPr>
            <w:tcW w:w="1199" w:type="dxa"/>
            <w:vMerge w:val="restart"/>
            <w:vAlign w:val="center"/>
          </w:tcPr>
          <w:p>
            <w:pPr>
              <w:widowControl/>
              <w:spacing w:line="300" w:lineRule="exact"/>
              <w:jc w:val="center"/>
              <w:rPr>
                <w:rFonts w:hint="eastAsia" w:ascii="仿宋_GB2312" w:hAnsi="黑体" w:eastAsia="仿宋_GB2312" w:cs="宋体"/>
                <w:spacing w:val="-20"/>
                <w:sz w:val="22"/>
                <w:lang w:val="en-US" w:eastAsia="zh-CN"/>
              </w:rPr>
            </w:pPr>
            <w:r>
              <w:rPr>
                <w:rFonts w:hint="eastAsia" w:ascii="宋体" w:hAnsi="宋体" w:eastAsia="宋体" w:cs="宋体"/>
                <w:spacing w:val="-20"/>
                <w:sz w:val="18"/>
                <w:szCs w:val="18"/>
                <w:lang w:val="en-US" w:eastAsia="zh-CN"/>
              </w:rPr>
              <w:t>酒类经营者备案登记</w:t>
            </w:r>
            <w:bookmarkStart w:id="0" w:name="_GoBack"/>
            <w:bookmarkEnd w:id="0"/>
          </w:p>
        </w:tc>
        <w:tc>
          <w:tcPr>
            <w:tcW w:w="3135" w:type="dxa"/>
            <w:vMerge w:val="restart"/>
            <w:vAlign w:val="center"/>
          </w:tcPr>
          <w:p>
            <w:pPr>
              <w:widowControl/>
              <w:spacing w:line="240" w:lineRule="exact"/>
              <w:jc w:val="left"/>
              <w:rPr>
                <w:rFonts w:hint="eastAsia" w:ascii="宋体" w:hAnsi="宋体" w:eastAsia="宋体" w:cs="宋体"/>
                <w:spacing w:val="-20"/>
                <w:sz w:val="22"/>
              </w:rPr>
            </w:pPr>
            <w:r>
              <w:rPr>
                <w:rFonts w:hint="eastAsia" w:ascii="宋体" w:hAnsi="宋体" w:eastAsia="宋体" w:cs="宋体"/>
                <w:sz w:val="20"/>
                <w:szCs w:val="20"/>
              </w:rPr>
              <w:t>《</w:t>
            </w:r>
            <w:r>
              <w:rPr>
                <w:rFonts w:hint="eastAsia" w:ascii="宋体" w:hAnsi="宋体" w:eastAsia="宋体" w:cs="宋体"/>
                <w:sz w:val="20"/>
                <w:szCs w:val="20"/>
                <w:lang w:val="en-US" w:eastAsia="zh-CN"/>
              </w:rPr>
              <w:t>酒类流通管理办法</w:t>
            </w:r>
            <w:r>
              <w:rPr>
                <w:rFonts w:hint="eastAsia" w:ascii="宋体" w:hAnsi="宋体" w:eastAsia="宋体" w:cs="宋体"/>
                <w:sz w:val="20"/>
                <w:szCs w:val="20"/>
              </w:rPr>
              <w:t>》</w:t>
            </w:r>
            <w:r>
              <w:rPr>
                <w:rFonts w:hint="eastAsia" w:ascii="宋体" w:hAnsi="宋体" w:eastAsia="宋体" w:cs="宋体"/>
                <w:sz w:val="20"/>
                <w:szCs w:val="20"/>
                <w:lang w:eastAsia="zh-CN"/>
              </w:rPr>
              <w:t>（</w:t>
            </w:r>
            <w:r>
              <w:rPr>
                <w:rFonts w:hint="eastAsia" w:ascii="宋体" w:hAnsi="宋体" w:eastAsia="宋体" w:cs="宋体"/>
                <w:sz w:val="20"/>
                <w:szCs w:val="20"/>
                <w:lang w:val="en-US" w:eastAsia="zh-CN"/>
              </w:rPr>
              <w:t>商务部2005年第25号令</w:t>
            </w:r>
            <w:r>
              <w:rPr>
                <w:rFonts w:hint="eastAsia" w:ascii="宋体" w:hAnsi="宋体" w:eastAsia="宋体" w:cs="宋体"/>
                <w:sz w:val="20"/>
                <w:szCs w:val="20"/>
                <w:lang w:eastAsia="zh-CN"/>
              </w:rPr>
              <w:t>）</w:t>
            </w:r>
            <w:r>
              <w:rPr>
                <w:rFonts w:hint="eastAsia" w:ascii="宋体" w:hAnsi="宋体" w:eastAsia="宋体" w:cs="宋体"/>
                <w:sz w:val="20"/>
                <w:szCs w:val="20"/>
                <w:lang w:val="en-US" w:eastAsia="zh-CN"/>
              </w:rPr>
              <w:t>第二章第三条从事酒类批发、零售的单位和个人应当在取得营业执照60日内按属地管理原则，向登记注册地工商行政管理部门的同级商务部门备案登记。</w:t>
            </w: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仿宋_GB2312" w:hAnsi="仿宋_GB2312" w:eastAsia="仿宋_GB2312"/>
                <w:spacing w:val="-20"/>
                <w:sz w:val="20"/>
                <w:szCs w:val="20"/>
              </w:rPr>
              <w:t>受理</w:t>
            </w:r>
          </w:p>
        </w:tc>
        <w:tc>
          <w:tcPr>
            <w:tcW w:w="3775" w:type="dxa"/>
            <w:vAlign w:val="center"/>
          </w:tcPr>
          <w:p>
            <w:pPr>
              <w:autoSpaceDE w:val="0"/>
              <w:autoSpaceDN w:val="0"/>
              <w:spacing w:line="240" w:lineRule="exact"/>
              <w:rPr>
                <w:rFonts w:hint="eastAsia" w:ascii="仿宋_GB2312" w:hAnsi="黑体" w:eastAsia="仿宋_GB2312" w:cs="宋体"/>
                <w:sz w:val="22"/>
              </w:rPr>
            </w:pPr>
            <w:r>
              <w:rPr>
                <w:rFonts w:hint="eastAsia"/>
                <w:color w:val="000000"/>
                <w:sz w:val="20"/>
                <w:szCs w:val="20"/>
              </w:rPr>
              <w:t>1.受理阶段责任：公示依法应当提交的材料；一次性告知补正材料；依法受理或不予受理（不予受理的告知理由）。</w:t>
            </w:r>
          </w:p>
        </w:tc>
        <w:tc>
          <w:tcPr>
            <w:tcW w:w="1161" w:type="dxa"/>
            <w:vAlign w:val="center"/>
          </w:tcPr>
          <w:p>
            <w:pPr>
              <w:spacing w:line="300" w:lineRule="exact"/>
              <w:jc w:val="center"/>
              <w:rPr>
                <w:rFonts w:hint="eastAsia" w:ascii="仿宋_GB2312" w:hAnsi="黑体" w:eastAsia="仿宋_GB2312" w:cs="宋体"/>
                <w:sz w:val="20"/>
                <w:szCs w:val="20"/>
                <w:lang w:eastAsia="zh-CN"/>
              </w:rPr>
            </w:pPr>
            <w:r>
              <w:rPr>
                <w:rFonts w:hint="eastAsia" w:ascii="仿宋_GB2312" w:hAnsi="黑体" w:eastAsia="仿宋_GB2312" w:cs="宋体"/>
                <w:sz w:val="20"/>
                <w:szCs w:val="20"/>
                <w:lang w:val="en-US" w:eastAsia="zh-CN"/>
              </w:rPr>
              <w:t>市场运行调节股</w:t>
            </w:r>
          </w:p>
        </w:tc>
        <w:tc>
          <w:tcPr>
            <w:tcW w:w="849" w:type="dxa"/>
            <w:vAlign w:val="center"/>
          </w:tcPr>
          <w:p>
            <w:pPr>
              <w:spacing w:line="560" w:lineRule="exact"/>
              <w:jc w:val="center"/>
              <w:rPr>
                <w:rFonts w:hint="eastAsia" w:ascii="仿宋_GB2312" w:hAnsi="黑体" w:eastAsia="仿宋_GB2312" w:cs="宋体"/>
                <w:sz w:val="22"/>
                <w:lang w:eastAsia="zh-CN"/>
              </w:rPr>
            </w:pPr>
            <w:r>
              <w:rPr>
                <w:rFonts w:hint="eastAsia" w:ascii="仿宋_GB2312" w:hAnsi="黑体" w:eastAsia="仿宋_GB2312" w:cs="宋体"/>
                <w:sz w:val="22"/>
                <w:lang w:val="en-US" w:eastAsia="zh-CN"/>
              </w:rPr>
              <w:t>1</w:t>
            </w:r>
          </w:p>
        </w:tc>
        <w:tc>
          <w:tcPr>
            <w:tcW w:w="813" w:type="dxa"/>
            <w:vMerge w:val="restart"/>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5</w:t>
            </w:r>
          </w:p>
        </w:tc>
        <w:tc>
          <w:tcPr>
            <w:tcW w:w="1450" w:type="dxa"/>
            <w:vMerge w:val="restart"/>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仿宋_GB2312" w:hAnsi="仿宋_GB2312" w:eastAsia="仿宋_GB2312"/>
                <w:spacing w:val="-20"/>
                <w:sz w:val="20"/>
                <w:szCs w:val="20"/>
              </w:rPr>
              <w:t>审查</w:t>
            </w:r>
          </w:p>
        </w:tc>
        <w:tc>
          <w:tcPr>
            <w:tcW w:w="3775" w:type="dxa"/>
            <w:vAlign w:val="center"/>
          </w:tcPr>
          <w:p>
            <w:pPr>
              <w:autoSpaceDE w:val="0"/>
              <w:autoSpaceDN w:val="0"/>
              <w:spacing w:line="240" w:lineRule="exact"/>
              <w:rPr>
                <w:rFonts w:hint="eastAsia" w:ascii="仿宋_GB2312" w:hAnsi="仿宋_GB2312" w:eastAsia="仿宋_GB2312"/>
                <w:spacing w:val="-20"/>
                <w:sz w:val="20"/>
                <w:szCs w:val="20"/>
              </w:rPr>
            </w:pPr>
            <w:r>
              <w:rPr>
                <w:rFonts w:hint="eastAsia"/>
                <w:color w:val="000000"/>
                <w:sz w:val="20"/>
                <w:szCs w:val="20"/>
              </w:rPr>
              <w:t>2.审查阶段责任：材料审核；提出初审意见。</w:t>
            </w:r>
          </w:p>
        </w:tc>
        <w:tc>
          <w:tcPr>
            <w:tcW w:w="1161" w:type="dxa"/>
            <w:vAlign w:val="center"/>
          </w:tcPr>
          <w:p>
            <w:pPr>
              <w:spacing w:line="300" w:lineRule="exact"/>
              <w:jc w:val="center"/>
              <w:rPr>
                <w:rFonts w:hint="eastAsia" w:ascii="仿宋_GB2312" w:hAnsi="黑体" w:eastAsia="仿宋_GB2312" w:cs="宋体"/>
                <w:sz w:val="20"/>
                <w:szCs w:val="20"/>
              </w:rPr>
            </w:pPr>
            <w:r>
              <w:rPr>
                <w:rFonts w:hint="eastAsia" w:ascii="仿宋_GB2312" w:hAnsi="黑体" w:eastAsia="仿宋_GB2312" w:cs="宋体"/>
                <w:sz w:val="20"/>
                <w:szCs w:val="20"/>
                <w:lang w:val="en-US" w:eastAsia="zh-CN"/>
              </w:rPr>
              <w:t>市场运行调节股</w:t>
            </w:r>
          </w:p>
        </w:tc>
        <w:tc>
          <w:tcPr>
            <w:tcW w:w="849"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2</w:t>
            </w:r>
          </w:p>
        </w:tc>
        <w:tc>
          <w:tcPr>
            <w:tcW w:w="813" w:type="dxa"/>
            <w:vMerge w:val="continue"/>
            <w:vAlign w:val="center"/>
          </w:tcPr>
          <w:p>
            <w:pPr>
              <w:spacing w:line="560" w:lineRule="exact"/>
              <w:jc w:val="center"/>
              <w:rPr>
                <w:rFonts w:hint="eastAsia" w:ascii="仿宋_GB2312" w:hAnsi="黑体" w:eastAsia="仿宋_GB2312" w:cs="宋体"/>
                <w:sz w:val="22"/>
              </w:rPr>
            </w:pPr>
          </w:p>
        </w:tc>
        <w:tc>
          <w:tcPr>
            <w:tcW w:w="1450"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仿宋_GB2312" w:hAnsi="仿宋_GB2312" w:eastAsia="仿宋_GB2312"/>
                <w:spacing w:val="-20"/>
                <w:sz w:val="20"/>
                <w:szCs w:val="20"/>
              </w:rPr>
              <w:t>决定</w:t>
            </w:r>
          </w:p>
        </w:tc>
        <w:tc>
          <w:tcPr>
            <w:tcW w:w="3775" w:type="dxa"/>
            <w:vAlign w:val="center"/>
          </w:tcPr>
          <w:p>
            <w:pPr>
              <w:autoSpaceDE w:val="0"/>
              <w:autoSpaceDN w:val="0"/>
              <w:spacing w:line="240" w:lineRule="exact"/>
              <w:rPr>
                <w:rFonts w:hint="eastAsia" w:ascii="仿宋_GB2312" w:hAnsi="仿宋_GB2312" w:eastAsia="仿宋_GB2312"/>
                <w:spacing w:val="-20"/>
                <w:sz w:val="20"/>
                <w:szCs w:val="20"/>
              </w:rPr>
            </w:pPr>
            <w:r>
              <w:rPr>
                <w:rFonts w:hint="eastAsia"/>
                <w:color w:val="000000"/>
                <w:sz w:val="20"/>
                <w:szCs w:val="20"/>
              </w:rPr>
              <w:t>3.决定阶段责任：作出初审批准或者不批准的决定（不批准的告知理由）；按时办结；法定告知。</w:t>
            </w:r>
          </w:p>
        </w:tc>
        <w:tc>
          <w:tcPr>
            <w:tcW w:w="1161" w:type="dxa"/>
            <w:vAlign w:val="center"/>
          </w:tcPr>
          <w:p>
            <w:pPr>
              <w:spacing w:line="300" w:lineRule="exact"/>
              <w:jc w:val="center"/>
              <w:rPr>
                <w:rFonts w:hint="eastAsia" w:ascii="仿宋_GB2312" w:hAnsi="黑体" w:eastAsia="仿宋_GB2312" w:cs="宋体"/>
                <w:sz w:val="20"/>
                <w:szCs w:val="20"/>
              </w:rPr>
            </w:pPr>
            <w:r>
              <w:rPr>
                <w:rFonts w:hint="eastAsia" w:ascii="仿宋_GB2312" w:hAnsi="黑体" w:eastAsia="仿宋_GB2312" w:cs="宋体"/>
                <w:sz w:val="20"/>
                <w:szCs w:val="20"/>
                <w:lang w:val="en-US" w:eastAsia="zh-CN"/>
              </w:rPr>
              <w:t>市场运行调节股</w:t>
            </w:r>
          </w:p>
        </w:tc>
        <w:tc>
          <w:tcPr>
            <w:tcW w:w="849"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1</w:t>
            </w:r>
          </w:p>
        </w:tc>
        <w:tc>
          <w:tcPr>
            <w:tcW w:w="813" w:type="dxa"/>
            <w:vMerge w:val="continue"/>
            <w:vAlign w:val="center"/>
          </w:tcPr>
          <w:p>
            <w:pPr>
              <w:spacing w:line="560" w:lineRule="exact"/>
              <w:jc w:val="center"/>
              <w:rPr>
                <w:rFonts w:hint="eastAsia" w:ascii="仿宋_GB2312" w:hAnsi="黑体" w:eastAsia="仿宋_GB2312" w:cs="宋体"/>
                <w:sz w:val="22"/>
              </w:rPr>
            </w:pPr>
          </w:p>
        </w:tc>
        <w:tc>
          <w:tcPr>
            <w:tcW w:w="1450"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仿宋_GB2312" w:hAnsi="仿宋_GB2312" w:eastAsia="仿宋_GB2312"/>
                <w:spacing w:val="-20"/>
                <w:sz w:val="20"/>
                <w:szCs w:val="20"/>
              </w:rPr>
              <w:t>送达</w:t>
            </w:r>
          </w:p>
        </w:tc>
        <w:tc>
          <w:tcPr>
            <w:tcW w:w="3775" w:type="dxa"/>
            <w:vAlign w:val="center"/>
          </w:tcPr>
          <w:p>
            <w:pPr>
              <w:autoSpaceDE w:val="0"/>
              <w:autoSpaceDN w:val="0"/>
              <w:spacing w:line="240" w:lineRule="exact"/>
              <w:rPr>
                <w:rFonts w:hint="eastAsia" w:ascii="仿宋_GB2312" w:hAnsi="仿宋_GB2312" w:eastAsia="仿宋_GB2312"/>
                <w:spacing w:val="-20"/>
                <w:sz w:val="20"/>
                <w:szCs w:val="20"/>
              </w:rPr>
            </w:pPr>
            <w:r>
              <w:rPr>
                <w:rFonts w:hint="eastAsia"/>
                <w:color w:val="000000"/>
                <w:sz w:val="20"/>
                <w:szCs w:val="20"/>
              </w:rPr>
              <w:t>4.送达阶段责任：制发送达文书；信息公开。</w:t>
            </w:r>
          </w:p>
        </w:tc>
        <w:tc>
          <w:tcPr>
            <w:tcW w:w="1161" w:type="dxa"/>
            <w:vAlign w:val="center"/>
          </w:tcPr>
          <w:p>
            <w:pPr>
              <w:spacing w:line="300" w:lineRule="exact"/>
              <w:jc w:val="center"/>
              <w:rPr>
                <w:rFonts w:hint="eastAsia" w:ascii="仿宋_GB2312" w:hAnsi="黑体" w:eastAsia="仿宋_GB2312" w:cs="宋体"/>
                <w:sz w:val="20"/>
                <w:szCs w:val="20"/>
              </w:rPr>
            </w:pPr>
            <w:r>
              <w:rPr>
                <w:rFonts w:hint="eastAsia" w:ascii="仿宋_GB2312" w:hAnsi="黑体" w:eastAsia="仿宋_GB2312" w:cs="宋体"/>
                <w:sz w:val="20"/>
                <w:szCs w:val="20"/>
                <w:lang w:val="en-US" w:eastAsia="zh-CN"/>
              </w:rPr>
              <w:t>市场运行调节股</w:t>
            </w:r>
          </w:p>
        </w:tc>
        <w:tc>
          <w:tcPr>
            <w:tcW w:w="849" w:type="dxa"/>
            <w:vAlign w:val="center"/>
          </w:tcPr>
          <w:p>
            <w:pPr>
              <w:spacing w:line="560" w:lineRule="exact"/>
              <w:jc w:val="center"/>
              <w:rPr>
                <w:rFonts w:hint="eastAsia" w:ascii="仿宋_GB2312" w:hAnsi="黑体" w:eastAsia="仿宋_GB2312" w:cs="宋体"/>
                <w:sz w:val="22"/>
              </w:rPr>
            </w:pPr>
            <w:r>
              <w:rPr>
                <w:rFonts w:hint="eastAsia" w:ascii="仿宋_GB2312" w:hAnsi="黑体" w:eastAsia="仿宋_GB2312" w:cs="宋体"/>
                <w:sz w:val="22"/>
              </w:rPr>
              <w:t>1</w:t>
            </w:r>
          </w:p>
        </w:tc>
        <w:tc>
          <w:tcPr>
            <w:tcW w:w="813" w:type="dxa"/>
            <w:vMerge w:val="continue"/>
            <w:vAlign w:val="center"/>
          </w:tcPr>
          <w:p>
            <w:pPr>
              <w:spacing w:line="560" w:lineRule="exact"/>
              <w:jc w:val="center"/>
              <w:rPr>
                <w:rFonts w:hint="eastAsia" w:ascii="仿宋_GB2312" w:hAnsi="黑体" w:eastAsia="仿宋_GB2312" w:cs="宋体"/>
                <w:sz w:val="22"/>
              </w:rPr>
            </w:pPr>
          </w:p>
        </w:tc>
        <w:tc>
          <w:tcPr>
            <w:tcW w:w="1450"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r>
              <w:rPr>
                <w:rFonts w:hint="eastAsia" w:ascii="仿宋_GB2312" w:hAnsi="仿宋_GB2312" w:eastAsia="仿宋_GB2312"/>
                <w:spacing w:val="-20"/>
                <w:sz w:val="20"/>
                <w:szCs w:val="20"/>
              </w:rPr>
              <w:t>事后监管</w:t>
            </w:r>
          </w:p>
        </w:tc>
        <w:tc>
          <w:tcPr>
            <w:tcW w:w="3775" w:type="dxa"/>
            <w:vAlign w:val="center"/>
          </w:tcPr>
          <w:p>
            <w:pPr>
              <w:autoSpaceDE w:val="0"/>
              <w:autoSpaceDN w:val="0"/>
              <w:spacing w:line="240" w:lineRule="exact"/>
              <w:rPr>
                <w:rFonts w:hint="eastAsia" w:ascii="仿宋_GB2312" w:hAnsi="仿宋_GB2312" w:eastAsia="仿宋_GB2312"/>
                <w:spacing w:val="-20"/>
                <w:sz w:val="20"/>
                <w:szCs w:val="20"/>
              </w:rPr>
            </w:pPr>
            <w:r>
              <w:rPr>
                <w:rFonts w:hint="eastAsia"/>
                <w:color w:val="000000"/>
                <w:sz w:val="20"/>
                <w:szCs w:val="20"/>
              </w:rPr>
              <w:t>5.事后监管责任：开展定期和不定期检查，根据检查情况，做出资质注销等决定。</w:t>
            </w:r>
          </w:p>
        </w:tc>
        <w:tc>
          <w:tcPr>
            <w:tcW w:w="1161" w:type="dxa"/>
            <w:vAlign w:val="center"/>
          </w:tcPr>
          <w:p>
            <w:pPr>
              <w:spacing w:line="300" w:lineRule="exact"/>
              <w:jc w:val="center"/>
              <w:rPr>
                <w:rFonts w:hint="eastAsia" w:ascii="仿宋_GB2312" w:hAnsi="黑体" w:eastAsia="仿宋_GB2312" w:cs="宋体"/>
                <w:sz w:val="20"/>
                <w:szCs w:val="20"/>
              </w:rPr>
            </w:pPr>
            <w:r>
              <w:rPr>
                <w:rFonts w:hint="eastAsia" w:ascii="仿宋_GB2312" w:hAnsi="黑体" w:eastAsia="仿宋_GB2312" w:cs="宋体"/>
                <w:sz w:val="20"/>
                <w:szCs w:val="20"/>
                <w:lang w:val="en-US" w:eastAsia="zh-CN"/>
              </w:rPr>
              <w:t>市场运行调节股、商务稽查大队</w:t>
            </w:r>
          </w:p>
        </w:tc>
        <w:tc>
          <w:tcPr>
            <w:tcW w:w="849" w:type="dxa"/>
            <w:vAlign w:val="center"/>
          </w:tcPr>
          <w:p>
            <w:pPr>
              <w:spacing w:line="560" w:lineRule="exact"/>
              <w:jc w:val="center"/>
              <w:rPr>
                <w:rFonts w:hint="eastAsia" w:ascii="仿宋_GB2312" w:hAnsi="黑体" w:eastAsia="仿宋_GB2312" w:cs="宋体"/>
                <w:sz w:val="22"/>
              </w:rPr>
            </w:pPr>
          </w:p>
        </w:tc>
        <w:tc>
          <w:tcPr>
            <w:tcW w:w="813" w:type="dxa"/>
            <w:vMerge w:val="continue"/>
            <w:vAlign w:val="center"/>
          </w:tcPr>
          <w:p>
            <w:pPr>
              <w:spacing w:line="560" w:lineRule="exact"/>
              <w:jc w:val="center"/>
              <w:rPr>
                <w:rFonts w:hint="eastAsia" w:ascii="仿宋_GB2312" w:hAnsi="黑体" w:eastAsia="仿宋_GB2312" w:cs="宋体"/>
                <w:sz w:val="22"/>
              </w:rPr>
            </w:pPr>
          </w:p>
        </w:tc>
        <w:tc>
          <w:tcPr>
            <w:tcW w:w="1450"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718" w:type="dxa"/>
            <w:vMerge w:val="continue"/>
            <w:vAlign w:val="center"/>
          </w:tcPr>
          <w:p>
            <w:pPr>
              <w:spacing w:line="560" w:lineRule="exact"/>
              <w:jc w:val="center"/>
              <w:rPr>
                <w:rFonts w:hint="eastAsia" w:ascii="仿宋_GB2312" w:hAnsi="黑体" w:eastAsia="仿宋_GB2312" w:cs="宋体"/>
                <w:sz w:val="22"/>
              </w:rPr>
            </w:pPr>
          </w:p>
        </w:tc>
        <w:tc>
          <w:tcPr>
            <w:tcW w:w="1199" w:type="dxa"/>
            <w:vMerge w:val="continue"/>
            <w:vAlign w:val="center"/>
          </w:tcPr>
          <w:p>
            <w:pPr>
              <w:autoSpaceDE w:val="0"/>
              <w:autoSpaceDN w:val="0"/>
              <w:spacing w:line="240" w:lineRule="exact"/>
              <w:rPr>
                <w:rFonts w:hint="eastAsia" w:ascii="宋体" w:hAnsi="宋体" w:cs="宋体"/>
                <w:spacing w:val="-20"/>
                <w:kern w:val="0"/>
                <w:szCs w:val="21"/>
              </w:rPr>
            </w:pPr>
          </w:p>
        </w:tc>
        <w:tc>
          <w:tcPr>
            <w:tcW w:w="3135" w:type="dxa"/>
            <w:vMerge w:val="continue"/>
            <w:vAlign w:val="center"/>
          </w:tcPr>
          <w:p>
            <w:pPr>
              <w:autoSpaceDE w:val="0"/>
              <w:autoSpaceDN w:val="0"/>
              <w:spacing w:line="240" w:lineRule="exact"/>
              <w:rPr>
                <w:rFonts w:hint="eastAsia" w:ascii="仿宋_GB2312" w:hAnsi="仿宋_GB2312" w:eastAsia="仿宋_GB2312"/>
                <w:spacing w:val="-20"/>
                <w:sz w:val="20"/>
                <w:szCs w:val="20"/>
              </w:rPr>
            </w:pPr>
          </w:p>
        </w:tc>
        <w:tc>
          <w:tcPr>
            <w:tcW w:w="1074" w:type="dxa"/>
            <w:vAlign w:val="center"/>
          </w:tcPr>
          <w:p>
            <w:pPr>
              <w:autoSpaceDE w:val="0"/>
              <w:autoSpaceDN w:val="0"/>
              <w:spacing w:line="240" w:lineRule="exact"/>
              <w:jc w:val="center"/>
              <w:rPr>
                <w:rFonts w:hint="eastAsia" w:ascii="仿宋_GB2312" w:hAnsi="黑体" w:eastAsia="仿宋_GB2312" w:cs="宋体"/>
                <w:spacing w:val="-20"/>
                <w:sz w:val="22"/>
              </w:rPr>
            </w:pPr>
          </w:p>
        </w:tc>
        <w:tc>
          <w:tcPr>
            <w:tcW w:w="3775" w:type="dxa"/>
            <w:vAlign w:val="center"/>
          </w:tcPr>
          <w:p>
            <w:pPr>
              <w:autoSpaceDE w:val="0"/>
              <w:autoSpaceDN w:val="0"/>
              <w:spacing w:line="240" w:lineRule="exact"/>
              <w:rPr>
                <w:rFonts w:hint="eastAsia" w:ascii="仿宋_GB2312" w:hAnsi="仿宋_GB2312" w:eastAsia="仿宋_GB2312"/>
                <w:spacing w:val="-20"/>
                <w:sz w:val="20"/>
                <w:szCs w:val="20"/>
              </w:rPr>
            </w:pPr>
            <w:r>
              <w:rPr>
                <w:rFonts w:hint="eastAsia"/>
                <w:color w:val="000000"/>
                <w:sz w:val="20"/>
                <w:szCs w:val="20"/>
              </w:rPr>
              <w:t>6.其他法律法规规章文件规定应履行的责任。</w:t>
            </w:r>
          </w:p>
        </w:tc>
        <w:tc>
          <w:tcPr>
            <w:tcW w:w="1161" w:type="dxa"/>
            <w:vAlign w:val="center"/>
          </w:tcPr>
          <w:p>
            <w:pPr>
              <w:spacing w:line="300" w:lineRule="exact"/>
              <w:jc w:val="center"/>
              <w:rPr>
                <w:rFonts w:hint="eastAsia" w:ascii="仿宋_GB2312" w:hAnsi="黑体" w:eastAsia="仿宋_GB2312" w:cs="宋体"/>
                <w:sz w:val="20"/>
                <w:szCs w:val="20"/>
              </w:rPr>
            </w:pPr>
            <w:r>
              <w:rPr>
                <w:rFonts w:hint="eastAsia" w:ascii="仿宋_GB2312" w:hAnsi="黑体" w:eastAsia="仿宋_GB2312" w:cs="宋体"/>
                <w:sz w:val="20"/>
                <w:szCs w:val="20"/>
                <w:lang w:val="en-US" w:eastAsia="zh-CN"/>
              </w:rPr>
              <w:t>市场运行调节股、商务稽查大队</w:t>
            </w:r>
          </w:p>
        </w:tc>
        <w:tc>
          <w:tcPr>
            <w:tcW w:w="849" w:type="dxa"/>
            <w:vAlign w:val="center"/>
          </w:tcPr>
          <w:p>
            <w:pPr>
              <w:spacing w:line="560" w:lineRule="exact"/>
              <w:jc w:val="center"/>
              <w:rPr>
                <w:rFonts w:hint="eastAsia" w:ascii="仿宋_GB2312" w:hAnsi="黑体" w:eastAsia="仿宋_GB2312" w:cs="宋体"/>
                <w:sz w:val="22"/>
              </w:rPr>
            </w:pPr>
          </w:p>
        </w:tc>
        <w:tc>
          <w:tcPr>
            <w:tcW w:w="813" w:type="dxa"/>
            <w:vMerge w:val="continue"/>
            <w:vAlign w:val="center"/>
          </w:tcPr>
          <w:p>
            <w:pPr>
              <w:spacing w:line="560" w:lineRule="exact"/>
              <w:jc w:val="center"/>
              <w:rPr>
                <w:rFonts w:hint="eastAsia" w:ascii="仿宋_GB2312" w:hAnsi="黑体" w:eastAsia="仿宋_GB2312" w:cs="宋体"/>
                <w:sz w:val="22"/>
              </w:rPr>
            </w:pPr>
          </w:p>
        </w:tc>
        <w:tc>
          <w:tcPr>
            <w:tcW w:w="1450" w:type="dxa"/>
            <w:vMerge w:val="continue"/>
            <w:vAlign w:val="center"/>
          </w:tcPr>
          <w:p>
            <w:pPr>
              <w:spacing w:line="560" w:lineRule="exact"/>
              <w:jc w:val="center"/>
              <w:rPr>
                <w:rFonts w:hint="eastAsia" w:ascii="仿宋_GB2312" w:hAnsi="黑体" w:eastAsia="仿宋_GB2312" w:cs="宋体"/>
                <w:sz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12" w:hRule="atLeast"/>
          <w:jc w:val="center"/>
        </w:trPr>
        <w:tc>
          <w:tcPr>
            <w:tcW w:w="14174"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服务电话：</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投诉机构：</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12312</w:t>
            </w:r>
            <w:r>
              <w:rPr>
                <w:rFonts w:hint="eastAsia" w:ascii="仿宋_GB2312" w:hAnsi="黑体" w:eastAsia="仿宋_GB2312" w:cs="宋体"/>
                <w:sz w:val="22"/>
              </w:rPr>
              <w:t xml:space="preserve"> </w:t>
            </w:r>
            <w:r>
              <w:rPr>
                <w:rFonts w:hint="eastAsia" w:ascii="仿宋_GB2312" w:hAnsi="黑体" w:eastAsia="仿宋_GB2312" w:cs="宋体"/>
                <w:sz w:val="22"/>
                <w:lang w:eastAsia="zh-CN"/>
              </w:rPr>
              <w:t>”</w:t>
            </w:r>
            <w:r>
              <w:rPr>
                <w:rFonts w:hint="eastAsia" w:ascii="仿宋_GB2312" w:hAnsi="黑体" w:eastAsia="仿宋_GB2312" w:cs="宋体"/>
                <w:sz w:val="22"/>
                <w:lang w:val="en-US" w:eastAsia="zh-CN"/>
              </w:rPr>
              <w:t>商务举报投诉服务站</w:t>
            </w:r>
            <w:r>
              <w:rPr>
                <w:rFonts w:hint="eastAsia" w:ascii="仿宋_GB2312" w:hAnsi="黑体" w:eastAsia="仿宋_GB2312" w:cs="宋体"/>
                <w:sz w:val="22"/>
              </w:rPr>
              <w:t xml:space="preserve">      投诉电话：0394-</w:t>
            </w:r>
            <w:r>
              <w:rPr>
                <w:rFonts w:hint="eastAsia" w:ascii="仿宋_GB2312" w:hAnsi="黑体" w:eastAsia="仿宋_GB2312" w:cs="宋体"/>
                <w:sz w:val="22"/>
                <w:lang w:val="en-US" w:eastAsia="zh-CN"/>
              </w:rPr>
              <w:t>3229596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12" w:hRule="atLeast"/>
          <w:jc w:val="center"/>
        </w:trPr>
        <w:tc>
          <w:tcPr>
            <w:tcW w:w="14174" w:type="dxa"/>
            <w:gridSpan w:val="9"/>
            <w:vAlign w:val="center"/>
          </w:tcPr>
          <w:p>
            <w:pPr>
              <w:spacing w:line="560" w:lineRule="exact"/>
              <w:rPr>
                <w:rFonts w:hint="eastAsia" w:ascii="仿宋_GB2312" w:hAnsi="黑体" w:eastAsia="仿宋_GB2312" w:cs="宋体"/>
                <w:sz w:val="22"/>
              </w:rPr>
            </w:pPr>
            <w:r>
              <w:rPr>
                <w:rFonts w:hint="eastAsia" w:ascii="仿宋_GB2312" w:hAnsi="黑体" w:eastAsia="仿宋_GB2312" w:cs="宋体"/>
                <w:sz w:val="22"/>
              </w:rPr>
              <w:t>受理地点：</w:t>
            </w:r>
            <w:r>
              <w:rPr>
                <w:rFonts w:hint="eastAsia" w:ascii="仿宋_GB2312" w:hAnsi="黑体" w:eastAsia="仿宋_GB2312" w:cs="宋体"/>
                <w:sz w:val="22"/>
                <w:lang w:val="en-US" w:eastAsia="zh-CN"/>
              </w:rPr>
              <w:t>郸城县世纪大道南段商务局二楼</w:t>
            </w:r>
          </w:p>
        </w:tc>
      </w:tr>
    </w:tbl>
    <w:p>
      <w:pPr/>
    </w:p>
    <w:sectPr>
      <w:pgSz w:w="16838" w:h="11906" w:orient="landscape"/>
      <w:pgMar w:top="1080" w:right="1440" w:bottom="108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00002FF" w:usb1="4000ACFF" w:usb2="00000001" w:usb3="00000000" w:csb0="200001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仿宋_GB2312">
    <w:altName w:val="仿宋"/>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swiss"/>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Arial">
    <w:panose1 w:val="020B0604020202020204"/>
    <w:charset w:val="00"/>
    <w:family w:val="swiss"/>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
    <w:panose1 w:val="02010609060101010101"/>
    <w:charset w:val="86"/>
    <w:family w:val="swiss"/>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Courier New">
    <w:panose1 w:val="02070309020205020404"/>
    <w:charset w:val="00"/>
    <w:family w:val="swiss"/>
    <w:pitch w:val="default"/>
    <w:sig w:usb0="E0002AFF" w:usb1="C0007843" w:usb2="00000009" w:usb3="00000000" w:csb0="400001FF" w:csb1="FFFF0000"/>
  </w:font>
  <w:font w:name="仿宋_GB2312">
    <w:altName w:val="仿宋"/>
    <w:panose1 w:val="02010609030101010101"/>
    <w:charset w:val="86"/>
    <w:family w:val="decorative"/>
    <w:pitch w:val="default"/>
    <w:sig w:usb0="00000000" w:usb1="00000000" w:usb2="00000000" w:usb3="00000000" w:csb0="00040000" w:csb1="00000000"/>
  </w:font>
  <w:font w:name="楷体_GB2312">
    <w:altName w:val="楷体"/>
    <w:panose1 w:val="02010609030101010101"/>
    <w:charset w:val="86"/>
    <w:family w:val="swiss"/>
    <w:pitch w:val="default"/>
    <w:sig w:usb0="00000000" w:usb1="00000000" w:usb2="00000000" w:usb3="00000000" w:csb0="00040000" w:csb1="00000000"/>
  </w:font>
  <w:font w:name="Arial">
    <w:panose1 w:val="020B0604020202020204"/>
    <w:charset w:val="00"/>
    <w:family w:val="decorative"/>
    <w:pitch w:val="default"/>
    <w:sig w:usb0="E0002AFF" w:usb1="C0007843" w:usb2="00000009" w:usb3="00000000" w:csb0="400001FF" w:csb1="FFFF0000"/>
  </w:font>
  <w:font w:name="仿宋">
    <w:panose1 w:val="02010609060101010101"/>
    <w:charset w:val="86"/>
    <w:family w:val="decorative"/>
    <w:pitch w:val="default"/>
    <w:sig w:usb0="800002BF" w:usb1="38CF7CFA" w:usb2="00000016" w:usb3="00000000" w:csb0="00040001" w:csb1="00000000"/>
  </w:font>
  <w:font w:name="楷体">
    <w:panose1 w:val="02010609060101010101"/>
    <w:charset w:val="86"/>
    <w:family w:val="swiss"/>
    <w:pitch w:val="default"/>
    <w:sig w:usb0="800002BF" w:usb1="38CF7CFA" w:usb2="00000016" w:usb3="00000000" w:csb0="00040001" w:csb1="00000000"/>
  </w:font>
  <w:font w:name="Courier New">
    <w:panose1 w:val="02070309020205020404"/>
    <w:charset w:val="00"/>
    <w:family w:val="decorative"/>
    <w:pitch w:val="default"/>
    <w:sig w:usb0="E0002AFF" w:usb1="C0007843" w:usb2="00000009" w:usb3="00000000" w:csb0="400001FF" w:csb1="FFFF0000"/>
  </w:font>
  <w:font w:name="仿宋_GB2312">
    <w:altName w:val="仿宋"/>
    <w:panose1 w:val="02010609030101010101"/>
    <w:charset w:val="86"/>
    <w:family w:val="roman"/>
    <w:pitch w:val="default"/>
    <w:sig w:usb0="00000000" w:usb1="00000000" w:usb2="00000000" w:usb3="00000000" w:csb0="00040000" w:csb1="00000000"/>
  </w:font>
  <w:font w:name="楷体_GB2312">
    <w:altName w:val="楷体"/>
    <w:panose1 w:val="02010609030101010101"/>
    <w:charset w:val="86"/>
    <w:family w:val="decorative"/>
    <w:pitch w:val="default"/>
    <w:sig w:usb0="00000000" w:usb1="00000000" w:usb2="00000000" w:usb3="00000000" w:csb0="00040000" w:csb1="00000000"/>
  </w:font>
  <w:font w:name="Arial">
    <w:panose1 w:val="020B0604020202020204"/>
    <w:charset w:val="00"/>
    <w:family w:val="roman"/>
    <w:pitch w:val="default"/>
    <w:sig w:usb0="E0002AFF" w:usb1="C0007843" w:usb2="00000009" w:usb3="00000000" w:csb0="400001FF" w:csb1="FFFF0000"/>
  </w:font>
  <w:font w:name="仿宋">
    <w:panose1 w:val="02010609060101010101"/>
    <w:charset w:val="86"/>
    <w:family w:val="roman"/>
    <w:pitch w:val="default"/>
    <w:sig w:usb0="800002BF" w:usb1="38CF7CFA" w:usb2="00000016" w:usb3="00000000" w:csb0="00040001" w:csb1="00000000"/>
  </w:font>
  <w:font w:name="楷体">
    <w:panose1 w:val="02010609060101010101"/>
    <w:charset w:val="86"/>
    <w:family w:val="decorative"/>
    <w:pitch w:val="default"/>
    <w:sig w:usb0="800002BF" w:usb1="38CF7CFA" w:usb2="00000016" w:usb3="00000000" w:csb0="00040001" w:csb1="00000000"/>
  </w:font>
  <w:font w:name="Courier New">
    <w:panose1 w:val="02070309020205020404"/>
    <w:charset w:val="00"/>
    <w:family w:val="roman"/>
    <w:pitch w:val="default"/>
    <w:sig w:usb0="E0002AFF" w:usb1="C0007843" w:usb2="00000009" w:usb3="00000000" w:csb0="400001FF" w:csb1="FFFF0000"/>
  </w:font>
  <w:font w:name="楷体_GB2312">
    <w:altName w:val="楷体"/>
    <w:panose1 w:val="02010609030101010101"/>
    <w:charset w:val="86"/>
    <w:family w:val="roman"/>
    <w:pitch w:val="default"/>
    <w:sig w:usb0="00000000" w:usb1="00000000" w:usb2="00000000" w:usb3="00000000" w:csb0="00040000" w:csb1="00000000"/>
  </w:font>
  <w:font w:name="Arial">
    <w:panose1 w:val="020B0604020202020204"/>
    <w:charset w:val="00"/>
    <w:family w:val="modern"/>
    <w:pitch w:val="default"/>
    <w:sig w:usb0="E0002AFF" w:usb1="C0007843" w:usb2="00000009" w:usb3="00000000" w:csb0="400001FF" w:csb1="FFFF0000"/>
  </w:font>
  <w:font w:name="楷体">
    <w:panose1 w:val="02010609060101010101"/>
    <w:charset w:val="86"/>
    <w:family w:val="roma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swiss"/>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rPr>
        <w:rFonts w:hint="eastAsia"/>
      </w:rPr>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33985" cy="153035"/>
              <wp:effectExtent l="0" t="0" r="0" b="0"/>
              <wp:wrapNone/>
              <wp:docPr id="1" name="文本框 3"/>
              <wp:cNvGraphicFramePr/>
              <a:graphic xmlns:a="http://schemas.openxmlformats.org/drawingml/2006/main">
                <a:graphicData uri="http://schemas.microsoft.com/office/word/2010/wordprocessingShape">
                  <wps:wsp>
                    <wps:cNvSpPr txBox="1"/>
                    <wps:spPr>
                      <a:xfrm>
                        <a:off x="0" y="0"/>
                        <a:ext cx="133985" cy="153035"/>
                      </a:xfrm>
                      <a:prstGeom prst="rect">
                        <a:avLst/>
                      </a:prstGeom>
                      <a:noFill/>
                      <a:ln w="9525">
                        <a:noFill/>
                        <a:miter/>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4</w:t>
                          </w:r>
                          <w:r>
                            <w:rPr>
                              <w:rFonts w:hint="eastAsia"/>
                              <w:sz w:val="18"/>
                            </w:rPr>
                            <w:fldChar w:fldCharType="end"/>
                          </w:r>
                        </w:p>
                      </w:txbxContent>
                    </wps:txbx>
                    <wps:bodyPr wrap="none" lIns="0" tIns="0" rIns="0" bIns="0" upright="0">
                      <a:spAutoFit/>
                    </wps:bodyPr>
                  </wps:wsp>
                </a:graphicData>
              </a:graphic>
            </wp:anchor>
          </w:drawing>
        </mc:Choice>
        <mc:Fallback>
          <w:pict>
            <v:shape id="文本框 3" o:spid="_x0000_s1026" o:spt="202" type="#_x0000_t202" style="position:absolute;left:0pt;margin-top:0pt;height:12.05pt;width:10.55pt;mso-position-horizontal:center;mso-position-horizontal-relative:margin;mso-wrap-style:none;z-index:251658240;mso-width-relative:page;mso-height-relative:page;" filled="f" stroked="f" coordsize="21600,21600" o:gfxdata="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CQe10z0AAAAAMBAAAPAAAAAAAAAAEAIAAAACIAAABkcnMvZG93bnJldi54bWxQSwECFAAUAAAA&#10;CACHTuJAr4svqr0BAABcAwAADgAAAAAAAAABACAAAAAfAQAAZHJzL2Uyb0RvYy54bWxQSwUGAAAA&#10;AAYABgBZAQAATgUAAAAA&#10;">
              <v:fill on="f" focussize="0,0"/>
              <v:stroke on="f" joinstyle="miter"/>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4</w:t>
                    </w:r>
                    <w:r>
                      <w:rPr>
                        <w:rFonts w:hint="eastAsia"/>
                        <w:sz w:val="1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2"/>
      <w:framePr w:wrap="around" w:vAnchor="text" w:hAnchor="margin" w:xAlign="center" w:y="2"/>
      <w:rPr>
        <w:rStyle w:val="5"/>
      </w:rPr>
    </w:pPr>
    <w:r>
      <w:fldChar w:fldCharType="begin"/>
    </w:r>
    <w:r>
      <w:rPr>
        <w:rStyle w:val="5"/>
      </w:rPr>
      <w:instrText xml:space="preserve">PAGE  </w:instrText>
    </w:r>
    <w:r>
      <w:fldChar w:fldCharType="separate"/>
    </w:r>
    <w:r>
      <w:rPr>
        <w:rStyle w:val="5"/>
      </w:rPr>
      <w:t>51</w:t>
    </w:r>
    <w: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7AD6881"/>
    <w:rsid w:val="0AD831B2"/>
    <w:rsid w:val="140F6AF9"/>
    <w:rsid w:val="17AD6881"/>
    <w:rsid w:val="19224548"/>
    <w:rsid w:val="1A5C7A54"/>
    <w:rsid w:val="399D7D96"/>
    <w:rsid w:val="403E1AF3"/>
    <w:rsid w:val="44441E3B"/>
    <w:rsid w:val="554C7D7D"/>
    <w:rsid w:val="5CB73B2D"/>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Normal (Web)"/>
    <w:basedOn w:val="1"/>
    <w:qFormat/>
    <w:uiPriority w:val="0"/>
    <w:pPr>
      <w:spacing w:before="0" w:beforeLines="0" w:beforeAutospacing="0" w:after="100" w:afterLines="0" w:afterAutospacing="1"/>
      <w:ind w:left="0" w:right="0"/>
      <w:jc w:val="left"/>
    </w:pPr>
    <w:rPr>
      <w:kern w:val="0"/>
      <w:sz w:val="24"/>
      <w:lang w:val="en-US" w:eastAsia="zh-CN" w:bidi="ar-SA"/>
    </w:rPr>
  </w:style>
  <w:style w:type="character" w:styleId="5">
    <w:name w:val="page number"/>
    <w:basedOn w:val="4"/>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2015-12-25T03:15:00Z</dcterms:created>
  <dc:creator>pc</dc:creator>
  <cp:lastModifiedBy>pc</cp:lastModifiedBy>
  <dcterms:modified xsi:type="dcterms:W3CDTF">2015-12-28T07:00:46Z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2052-10.1.0.5400</vt:lpwstr>
  </property>
</Properties>
</file>