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rPr>
                <w:rFonts w:hint="eastAsia" w:ascii="仿宋_GB2312" w:hAnsi="黑体" w:eastAsia="仿宋_GB2312" w:cs="宋体"/>
                <w:sz w:val="22"/>
                <w:lang w:eastAsia="zh-CN"/>
              </w:rPr>
            </w:pPr>
            <w:r>
              <w:rPr>
                <w:rFonts w:hint="eastAsia" w:ascii="仿宋_GB2312" w:hAnsi="黑体" w:eastAsia="仿宋_GB2312" w:cs="宋体"/>
                <w:sz w:val="22"/>
                <w:lang w:val="en-US" w:eastAsia="zh-CN"/>
              </w:rPr>
              <w:t>41</w:t>
            </w:r>
          </w:p>
        </w:tc>
        <w:tc>
          <w:tcPr>
            <w:tcW w:w="1199" w:type="dxa"/>
            <w:vMerge w:val="restart"/>
            <w:vAlign w:val="center"/>
          </w:tcPr>
          <w:p>
            <w:pPr>
              <w:autoSpaceDE w:val="0"/>
              <w:autoSpaceDN w:val="0"/>
              <w:spacing w:line="240" w:lineRule="exact"/>
              <w:rPr>
                <w:rFonts w:hint="eastAsia" w:ascii="仿宋_GB2312" w:hAnsi="黑体" w:eastAsia="仿宋_GB2312" w:cs="宋体"/>
                <w:spacing w:val="-20"/>
                <w:sz w:val="15"/>
                <w:szCs w:val="15"/>
              </w:rPr>
            </w:pPr>
            <w:r>
              <w:rPr>
                <w:rFonts w:hint="eastAsia" w:ascii="宋体" w:hAnsi="宋体" w:eastAsia="宋体" w:cs="宋体"/>
                <w:sz w:val="18"/>
                <w:szCs w:val="18"/>
              </w:rPr>
              <w:t>成品油零售经营企业经营资格年度检查</w:t>
            </w:r>
          </w:p>
        </w:tc>
        <w:tc>
          <w:tcPr>
            <w:tcW w:w="3135" w:type="dxa"/>
            <w:vMerge w:val="restart"/>
            <w:vAlign w:val="center"/>
          </w:tcPr>
          <w:p>
            <w:pPr>
              <w:autoSpaceDE w:val="0"/>
              <w:autoSpaceDN w:val="0"/>
              <w:spacing w:line="320" w:lineRule="exact"/>
              <w:rPr>
                <w:rFonts w:hint="eastAsia" w:ascii="仿宋_GB2312" w:hAnsi="黑体" w:eastAsia="仿宋_GB2312" w:cs="宋体"/>
                <w:spacing w:val="-20"/>
                <w:sz w:val="15"/>
                <w:szCs w:val="15"/>
              </w:rPr>
            </w:pPr>
            <w:r>
              <w:rPr>
                <w:rFonts w:hint="eastAsia" w:ascii="宋体" w:hAnsi="宋体"/>
                <w:szCs w:val="21"/>
              </w:rPr>
              <w:t>《成品油市场管理办法》（商务部令2006年第23号）第三十一条：“省级人民政府商务主管部门应当依据本办法，每年组织有关部门对从事成品油经营的企业进行成品油经营资格年度检查，并将检查结果报商务部。”</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4239" w:type="dxa"/>
            <w:vAlign w:val="center"/>
          </w:tcPr>
          <w:p>
            <w:pPr>
              <w:autoSpaceDE w:val="0"/>
              <w:autoSpaceDN w:val="0"/>
              <w:spacing w:line="240" w:lineRule="exact"/>
              <w:rPr>
                <w:rFonts w:hint="eastAsia" w:ascii="仿宋_GB2312" w:hAnsi="黑体" w:eastAsia="仿宋_GB2312" w:cs="宋体"/>
                <w:sz w:val="15"/>
                <w:szCs w:val="15"/>
              </w:rPr>
            </w:pPr>
            <w:r>
              <w:rPr>
                <w:rFonts w:hint="eastAsia" w:ascii="宋体" w:hAnsi="宋体"/>
                <w:kern w:val="0"/>
                <w:sz w:val="15"/>
                <w:szCs w:val="15"/>
              </w:rPr>
              <w:t>1</w:t>
            </w:r>
            <w:r>
              <w:rPr>
                <w:rFonts w:hint="eastAsia" w:ascii="宋体" w:hAnsi="宋体"/>
                <w:kern w:val="0"/>
                <w:sz w:val="15"/>
                <w:szCs w:val="15"/>
                <w:lang w:val="en-US" w:eastAsia="zh-CN"/>
              </w:rPr>
              <w:t>.</w:t>
            </w:r>
            <w:r>
              <w:rPr>
                <w:rFonts w:hint="eastAsia" w:ascii="宋体" w:hAnsi="宋体"/>
                <w:sz w:val="15"/>
                <w:szCs w:val="15"/>
              </w:rPr>
              <w:t>受理责任：受理成品油经营企业报送的年度检查报告书，对其材料的齐全性、内容的完整性进行查验。符合要求的，直接受理。不符合要求的，一次性告之原因及所补材料。</w:t>
            </w:r>
          </w:p>
        </w:tc>
        <w:tc>
          <w:tcPr>
            <w:tcW w:w="1155" w:type="dxa"/>
            <w:vAlign w:val="center"/>
          </w:tcPr>
          <w:p>
            <w:pPr>
              <w:spacing w:line="240" w:lineRule="exact"/>
              <w:jc w:val="center"/>
              <w:rPr>
                <w:rFonts w:hint="eastAsia" w:ascii="仿宋_GB2312" w:hAnsi="黑体" w:eastAsia="仿宋_GB2312" w:cs="宋体"/>
                <w:sz w:val="20"/>
                <w:szCs w:val="20"/>
                <w:lang w:eastAsia="zh-CN"/>
              </w:rPr>
            </w:pPr>
            <w:r>
              <w:rPr>
                <w:rFonts w:hint="eastAsia" w:ascii="宋体" w:hAnsi="宋体" w:eastAsia="仿宋_GB2312"/>
                <w:sz w:val="18"/>
                <w:szCs w:val="18"/>
                <w:lang w:val="en-US" w:eastAsia="zh-CN"/>
              </w:rPr>
              <w:t>商贸服务管理股</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4239" w:type="dxa"/>
            <w:vAlign w:val="center"/>
          </w:tcPr>
          <w:p>
            <w:pPr>
              <w:autoSpaceDE w:val="0"/>
              <w:autoSpaceDN w:val="0"/>
              <w:spacing w:line="240" w:lineRule="exact"/>
              <w:rPr>
                <w:rFonts w:hint="eastAsia" w:ascii="仿宋_GB2312" w:hAnsi="仿宋_GB2312" w:eastAsia="仿宋_GB2312"/>
                <w:spacing w:val="-20"/>
                <w:sz w:val="15"/>
                <w:szCs w:val="15"/>
              </w:rPr>
            </w:pPr>
            <w:r>
              <w:rPr>
                <w:rFonts w:hint="eastAsia" w:ascii="宋体" w:hAnsi="宋体"/>
                <w:sz w:val="15"/>
                <w:szCs w:val="15"/>
              </w:rPr>
              <w:t>2</w:t>
            </w:r>
            <w:r>
              <w:rPr>
                <w:rFonts w:hint="eastAsia" w:ascii="宋体" w:hAnsi="宋体"/>
                <w:sz w:val="15"/>
                <w:szCs w:val="15"/>
                <w:lang w:val="en-US" w:eastAsia="zh-CN"/>
              </w:rPr>
              <w:t>.</w:t>
            </w:r>
            <w:r>
              <w:rPr>
                <w:rFonts w:hint="eastAsia" w:ascii="宋体" w:hAnsi="宋体"/>
                <w:sz w:val="15"/>
                <w:szCs w:val="15"/>
              </w:rPr>
              <w:t>审查责任：对成品油经营的企业提交的年度检查报告书进行初审，提出初审意见。并进行公示。</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商贸服务管理股</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4239" w:type="dxa"/>
            <w:vAlign w:val="center"/>
          </w:tcPr>
          <w:p>
            <w:pPr>
              <w:autoSpaceDE w:val="0"/>
              <w:autoSpaceDN w:val="0"/>
              <w:spacing w:line="240" w:lineRule="exact"/>
              <w:rPr>
                <w:rFonts w:hint="eastAsia" w:ascii="仿宋_GB2312" w:hAnsi="仿宋_GB2312" w:eastAsia="仿宋_GB2312"/>
                <w:spacing w:val="-20"/>
                <w:sz w:val="15"/>
                <w:szCs w:val="15"/>
              </w:rPr>
            </w:pPr>
            <w:r>
              <w:rPr>
                <w:rFonts w:hint="eastAsia" w:ascii="宋体" w:hAnsi="宋体"/>
                <w:sz w:val="15"/>
                <w:szCs w:val="15"/>
              </w:rPr>
              <w:t>3</w:t>
            </w:r>
            <w:r>
              <w:rPr>
                <w:rFonts w:hint="eastAsia" w:ascii="宋体" w:hAnsi="宋体"/>
                <w:sz w:val="15"/>
                <w:szCs w:val="15"/>
                <w:lang w:val="en-US" w:eastAsia="zh-CN"/>
              </w:rPr>
              <w:t>.</w:t>
            </w:r>
            <w:r>
              <w:rPr>
                <w:rFonts w:hint="eastAsia" w:ascii="宋体" w:hAnsi="宋体"/>
                <w:sz w:val="15"/>
                <w:szCs w:val="15"/>
              </w:rPr>
              <w:t>决定责任：作出年度检查结论。</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商贸服务管理股</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4239" w:type="dxa"/>
            <w:vAlign w:val="center"/>
          </w:tcPr>
          <w:p>
            <w:pPr>
              <w:autoSpaceDE w:val="0"/>
              <w:autoSpaceDN w:val="0"/>
              <w:spacing w:line="240" w:lineRule="exact"/>
              <w:rPr>
                <w:rFonts w:hint="eastAsia" w:ascii="仿宋_GB2312" w:hAnsi="仿宋_GB2312" w:eastAsia="仿宋_GB2312"/>
                <w:spacing w:val="-20"/>
                <w:sz w:val="15"/>
                <w:szCs w:val="15"/>
              </w:rPr>
            </w:pPr>
            <w:r>
              <w:rPr>
                <w:rFonts w:hint="eastAsia" w:ascii="宋体" w:hAnsi="宋体"/>
                <w:sz w:val="15"/>
                <w:szCs w:val="15"/>
              </w:rPr>
              <w:t>4</w:t>
            </w:r>
            <w:r>
              <w:rPr>
                <w:rFonts w:hint="eastAsia" w:ascii="宋体" w:hAnsi="宋体"/>
                <w:sz w:val="15"/>
                <w:szCs w:val="15"/>
                <w:lang w:val="en-US" w:eastAsia="zh-CN"/>
              </w:rPr>
              <w:t>.</w:t>
            </w:r>
            <w:r>
              <w:rPr>
                <w:rFonts w:hint="eastAsia" w:ascii="宋体" w:hAnsi="宋体"/>
                <w:sz w:val="15"/>
                <w:szCs w:val="15"/>
              </w:rPr>
              <w:t>送达责任：零售企业年审结果上报</w:t>
            </w:r>
            <w:r>
              <w:rPr>
                <w:rFonts w:hint="eastAsia" w:ascii="宋体" w:hAnsi="宋体"/>
                <w:sz w:val="15"/>
                <w:szCs w:val="15"/>
                <w:lang w:val="en-US" w:eastAsia="zh-CN"/>
              </w:rPr>
              <w:t>市商务局</w:t>
            </w:r>
            <w:r>
              <w:rPr>
                <w:rFonts w:hint="eastAsia" w:ascii="宋体" w:hAnsi="宋体"/>
                <w:sz w:val="15"/>
                <w:szCs w:val="15"/>
              </w:rPr>
              <w:t>备案，同时向零售企业送达年度检查报告书。</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商贸服务管理股</w:t>
            </w:r>
          </w:p>
        </w:tc>
        <w:tc>
          <w:tcPr>
            <w:tcW w:w="780"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4239" w:type="dxa"/>
            <w:vAlign w:val="center"/>
          </w:tcPr>
          <w:p>
            <w:pPr>
              <w:autoSpaceDE w:val="0"/>
              <w:autoSpaceDN w:val="0"/>
              <w:spacing w:line="240" w:lineRule="exact"/>
              <w:rPr>
                <w:rFonts w:hint="eastAsia" w:ascii="仿宋_GB2312" w:hAnsi="仿宋_GB2312" w:eastAsia="仿宋_GB2312"/>
                <w:spacing w:val="-20"/>
                <w:sz w:val="15"/>
                <w:szCs w:val="15"/>
              </w:rPr>
            </w:pPr>
            <w:r>
              <w:rPr>
                <w:rFonts w:hint="eastAsia" w:ascii="宋体" w:hAnsi="宋体"/>
                <w:sz w:val="15"/>
                <w:szCs w:val="15"/>
              </w:rPr>
              <w:t>5</w:t>
            </w:r>
            <w:r>
              <w:rPr>
                <w:rFonts w:hint="eastAsia" w:ascii="宋体" w:hAnsi="宋体"/>
                <w:sz w:val="15"/>
                <w:szCs w:val="15"/>
                <w:lang w:val="en-US" w:eastAsia="zh-CN"/>
              </w:rPr>
              <w:t>.</w:t>
            </w:r>
            <w:r>
              <w:rPr>
                <w:rFonts w:hint="eastAsia" w:ascii="宋体" w:hAnsi="宋体"/>
                <w:sz w:val="15"/>
                <w:szCs w:val="15"/>
              </w:rPr>
              <w:t>事后监管责任：对年度检查中不合格的成品油经营企业进行整改。</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商贸服务管理股</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仿宋_GB2312" w:hAnsi="黑体" w:eastAsia="仿宋_GB2312" w:cs="宋体"/>
                <w:spacing w:val="-20"/>
                <w:sz w:val="22"/>
              </w:rPr>
              <w:t>信息公开</w:t>
            </w:r>
          </w:p>
        </w:tc>
        <w:tc>
          <w:tcPr>
            <w:tcW w:w="4239" w:type="dxa"/>
            <w:vAlign w:val="center"/>
          </w:tcPr>
          <w:p>
            <w:pPr>
              <w:autoSpaceDE w:val="0"/>
              <w:autoSpaceDN w:val="0"/>
              <w:spacing w:line="240" w:lineRule="exact"/>
              <w:rPr>
                <w:rFonts w:hint="eastAsia" w:ascii="仿宋_GB2312" w:hAnsi="仿宋_GB2312" w:eastAsia="仿宋_GB2312"/>
                <w:spacing w:val="-20"/>
                <w:sz w:val="15"/>
                <w:szCs w:val="15"/>
              </w:rPr>
            </w:pPr>
            <w:r>
              <w:rPr>
                <w:rFonts w:hint="eastAsia" w:ascii="宋体" w:hAnsi="宋体"/>
                <w:sz w:val="15"/>
                <w:szCs w:val="15"/>
                <w:lang w:val="en-US" w:eastAsia="zh-CN"/>
              </w:rPr>
              <w:t>6.</w:t>
            </w:r>
            <w:r>
              <w:rPr>
                <w:rFonts w:hint="eastAsia" w:ascii="宋体" w:hAnsi="宋体"/>
                <w:sz w:val="15"/>
                <w:szCs w:val="15"/>
              </w:rPr>
              <w:t>信息公开责任：对作出年度检查结论的材料归档和信息公开。</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商贸服务管理股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sz w:val="15"/>
                <w:szCs w:val="15"/>
              </w:rPr>
              <w:t>7</w:t>
            </w:r>
            <w:r>
              <w:rPr>
                <w:rFonts w:hint="eastAsia" w:ascii="宋体" w:hAnsi="宋体"/>
                <w:sz w:val="15"/>
                <w:szCs w:val="15"/>
                <w:lang w:val="en-US" w:eastAsia="zh-CN"/>
              </w:rPr>
              <w:t>.</w:t>
            </w:r>
            <w:r>
              <w:rPr>
                <w:rFonts w:hint="eastAsia" w:ascii="宋体" w:hAnsi="宋体"/>
                <w:sz w:val="15"/>
                <w:szCs w:val="15"/>
              </w:rPr>
              <w:t>其他法律法规规章文件规定应履行的责任。</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商贸服务管理股</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center"/>
        <w:rPr>
          <w:rFonts w:hint="eastAsia" w:ascii="黑体" w:eastAsia="黑体"/>
          <w:sz w:val="32"/>
          <w:szCs w:val="32"/>
          <w:lang w:val="zh-CN" w:eastAsia="zh-CN"/>
        </w:rPr>
      </w:pPr>
      <w:r>
        <w:rPr>
          <w:rFonts w:hint="eastAsia" w:ascii="黑体" w:eastAsia="黑体"/>
          <w:sz w:val="32"/>
          <w:szCs w:val="32"/>
          <w:lang w:val="zh-CN" w:eastAsia="zh-CN"/>
        </w:rP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rPr>
                <w:rFonts w:hint="eastAsia" w:ascii="仿宋_GB2312" w:hAnsi="黑体" w:eastAsia="仿宋_GB2312" w:cs="宋体"/>
                <w:sz w:val="22"/>
                <w:lang w:eastAsia="zh-CN"/>
              </w:rPr>
            </w:pPr>
            <w:r>
              <w:rPr>
                <w:rFonts w:hint="eastAsia" w:ascii="仿宋_GB2312" w:hAnsi="黑体" w:eastAsia="仿宋_GB2312" w:cs="宋体"/>
                <w:sz w:val="22"/>
                <w:lang w:val="en-US" w:eastAsia="zh-CN"/>
              </w:rPr>
              <w:t>42</w:t>
            </w:r>
          </w:p>
        </w:tc>
        <w:tc>
          <w:tcPr>
            <w:tcW w:w="1199" w:type="dxa"/>
            <w:vMerge w:val="restart"/>
            <w:vAlign w:val="center"/>
          </w:tcPr>
          <w:p>
            <w:pPr>
              <w:spacing w:line="280" w:lineRule="exact"/>
              <w:rPr>
                <w:rFonts w:hint="eastAsia" w:ascii="仿宋_GB2312" w:hAnsi="黑体" w:eastAsia="仿宋_GB2312" w:cs="宋体"/>
                <w:spacing w:val="-20"/>
                <w:sz w:val="22"/>
              </w:rPr>
            </w:pPr>
            <w:r>
              <w:rPr>
                <w:rFonts w:hint="eastAsia"/>
                <w:sz w:val="20"/>
                <w:szCs w:val="20"/>
              </w:rPr>
              <w:t>拍卖企业年</w:t>
            </w:r>
            <w:r>
              <w:rPr>
                <w:rFonts w:hint="eastAsia"/>
                <w:sz w:val="20"/>
                <w:szCs w:val="20"/>
                <w:lang w:val="en-US" w:eastAsia="zh-CN"/>
              </w:rPr>
              <w:t>报</w:t>
            </w:r>
          </w:p>
        </w:tc>
        <w:tc>
          <w:tcPr>
            <w:tcW w:w="3135" w:type="dxa"/>
            <w:vMerge w:val="restart"/>
            <w:vAlign w:val="center"/>
          </w:tcPr>
          <w:p>
            <w:pPr>
              <w:spacing w:line="280" w:lineRule="exact"/>
              <w:ind w:firstLine="400" w:firstLineChars="200"/>
              <w:jc w:val="left"/>
              <w:rPr>
                <w:rFonts w:hint="eastAsia"/>
                <w:sz w:val="20"/>
                <w:szCs w:val="20"/>
              </w:rPr>
            </w:pPr>
            <w:r>
              <w:rPr>
                <w:rFonts w:hint="eastAsia"/>
                <w:sz w:val="20"/>
                <w:szCs w:val="20"/>
              </w:rPr>
              <w:t>《拍卖管理办法》（商务部令2004年第24号）第四十四条第三款：“省级商务主管部门应当.对拍卖经营活动监督检查的情况和处理结果应当予以记录。每年度应当出具对拍卖企业的监督核查意见。对核查不合格的拍卖企业，应当责令限期整改，并将核查情况通报有关部门。”</w:t>
            </w:r>
          </w:p>
          <w:p>
            <w:pPr>
              <w:spacing w:line="280" w:lineRule="exact"/>
              <w:ind w:firstLine="400" w:firstLineChars="200"/>
              <w:jc w:val="left"/>
              <w:rPr>
                <w:rFonts w:hint="eastAsia" w:ascii="仿宋_GB2312" w:hAnsi="黑体" w:eastAsia="仿宋_GB2312" w:cs="宋体"/>
                <w:spacing w:val="-20"/>
                <w:sz w:val="22"/>
              </w:rPr>
            </w:pPr>
            <w:r>
              <w:rPr>
                <w:rFonts w:hint="eastAsia"/>
                <w:sz w:val="20"/>
                <w:szCs w:val="20"/>
              </w:rPr>
              <w:t>据商务厅当年度拍卖企业年审工作通知授权报审。</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4239" w:type="dxa"/>
            <w:vAlign w:val="center"/>
          </w:tcPr>
          <w:p>
            <w:pPr>
              <w:widowControl/>
              <w:spacing w:line="220" w:lineRule="exact"/>
              <w:jc w:val="left"/>
              <w:rPr>
                <w:rFonts w:hint="eastAsia" w:ascii="仿宋_GB2312" w:hAnsi="黑体" w:eastAsia="仿宋_GB2312" w:cs="宋体"/>
                <w:sz w:val="15"/>
                <w:szCs w:val="15"/>
              </w:rPr>
            </w:pPr>
            <w:r>
              <w:rPr>
                <w:rFonts w:hint="eastAsia"/>
                <w:color w:val="000000"/>
                <w:sz w:val="18"/>
                <w:szCs w:val="18"/>
              </w:rPr>
              <w:t>1</w:t>
            </w:r>
            <w:r>
              <w:rPr>
                <w:rFonts w:hint="eastAsia"/>
                <w:color w:val="000000"/>
                <w:sz w:val="18"/>
                <w:szCs w:val="18"/>
                <w:lang w:val="en-US" w:eastAsia="zh-CN"/>
              </w:rPr>
              <w:t>.</w:t>
            </w:r>
            <w:r>
              <w:rPr>
                <w:rFonts w:hint="eastAsia"/>
                <w:color w:val="000000"/>
                <w:sz w:val="18"/>
                <w:szCs w:val="18"/>
              </w:rPr>
              <w:t>受理阶段责任：受理拍卖企业报送的年度检查报告书，对其材料的齐全性、内容的完整性进行查验。符合要求的，直接受理。不符合要求的，一次性告之原因及所补材料。</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color w:val="000000"/>
                <w:sz w:val="20"/>
                <w:szCs w:val="20"/>
              </w:rPr>
              <w:t>2</w:t>
            </w:r>
            <w:r>
              <w:rPr>
                <w:rFonts w:hint="eastAsia"/>
                <w:color w:val="000000"/>
                <w:sz w:val="20"/>
                <w:szCs w:val="20"/>
                <w:lang w:val="en-US" w:eastAsia="zh-CN"/>
              </w:rPr>
              <w:t>.</w:t>
            </w:r>
            <w:r>
              <w:rPr>
                <w:rFonts w:hint="eastAsia"/>
                <w:color w:val="000000"/>
                <w:sz w:val="20"/>
                <w:szCs w:val="20"/>
              </w:rPr>
              <w:t>审查阶段责任：对拍卖企业提交的年度检查报告书进行初审，提出初审意见。</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color w:val="000000"/>
                <w:sz w:val="20"/>
                <w:szCs w:val="20"/>
              </w:rPr>
              <w:t>3</w:t>
            </w:r>
            <w:r>
              <w:rPr>
                <w:rFonts w:hint="eastAsia"/>
                <w:color w:val="000000"/>
                <w:sz w:val="20"/>
                <w:szCs w:val="20"/>
                <w:lang w:val="en-US" w:eastAsia="zh-CN"/>
              </w:rPr>
              <w:t>.</w:t>
            </w:r>
            <w:r>
              <w:rPr>
                <w:rFonts w:hint="eastAsia"/>
                <w:color w:val="000000"/>
                <w:sz w:val="20"/>
                <w:szCs w:val="20"/>
              </w:rPr>
              <w:t>决定阶段责任：作出年度检查结论。</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color w:val="000000"/>
                <w:sz w:val="20"/>
                <w:szCs w:val="20"/>
              </w:rPr>
              <w:t>4</w:t>
            </w:r>
            <w:r>
              <w:rPr>
                <w:rFonts w:hint="eastAsia"/>
                <w:color w:val="000000"/>
                <w:sz w:val="20"/>
                <w:szCs w:val="20"/>
                <w:lang w:val="en-US" w:eastAsia="zh-CN"/>
              </w:rPr>
              <w:t>.</w:t>
            </w:r>
            <w:r>
              <w:rPr>
                <w:rFonts w:hint="eastAsia"/>
                <w:color w:val="000000"/>
                <w:sz w:val="20"/>
                <w:szCs w:val="20"/>
              </w:rPr>
              <w:t>送达阶段责任：处审结果送达省商务厅。</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color w:val="000000"/>
                <w:sz w:val="20"/>
                <w:szCs w:val="20"/>
              </w:rPr>
              <w:t>5</w:t>
            </w:r>
            <w:r>
              <w:rPr>
                <w:rFonts w:hint="eastAsia"/>
                <w:color w:val="000000"/>
                <w:sz w:val="20"/>
                <w:szCs w:val="20"/>
                <w:lang w:val="en-US" w:eastAsia="zh-CN"/>
              </w:rPr>
              <w:t>.</w:t>
            </w:r>
            <w:r>
              <w:rPr>
                <w:rFonts w:hint="eastAsia"/>
                <w:color w:val="000000"/>
                <w:sz w:val="20"/>
                <w:szCs w:val="20"/>
              </w:rPr>
              <w:t>事后管理责任：对省厅作出年度检查结论的材料归档。同时送达相关管理部门。</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仿宋_GB2312" w:hAnsi="黑体" w:eastAsia="仿宋_GB2312" w:cs="宋体"/>
                <w:spacing w:val="-20"/>
                <w:sz w:val="22"/>
              </w:rPr>
              <w:t>信息公开</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color w:val="000000"/>
                <w:sz w:val="20"/>
                <w:szCs w:val="20"/>
              </w:rPr>
              <w:t>6</w:t>
            </w:r>
            <w:r>
              <w:rPr>
                <w:rFonts w:hint="eastAsia"/>
                <w:color w:val="000000"/>
                <w:sz w:val="20"/>
                <w:szCs w:val="20"/>
                <w:lang w:val="en-US" w:eastAsia="zh-CN"/>
              </w:rPr>
              <w:t>.</w:t>
            </w:r>
            <w:r>
              <w:rPr>
                <w:rFonts w:hint="eastAsia"/>
                <w:color w:val="000000"/>
                <w:sz w:val="20"/>
                <w:szCs w:val="20"/>
              </w:rPr>
              <w:t>信息公开责任：对作出年度检查结论的材料信息公开。</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p>
        </w:tc>
        <w:tc>
          <w:tcPr>
            <w:tcW w:w="4239" w:type="dxa"/>
            <w:vAlign w:val="center"/>
          </w:tcPr>
          <w:p>
            <w:pPr>
              <w:widowControl/>
              <w:spacing w:line="300" w:lineRule="exact"/>
              <w:jc w:val="left"/>
              <w:rPr>
                <w:rFonts w:hint="eastAsia" w:ascii="仿宋_GB2312" w:hAnsi="仿宋_GB2312" w:eastAsia="仿宋_GB2312"/>
                <w:sz w:val="15"/>
                <w:szCs w:val="15"/>
              </w:rPr>
            </w:pPr>
            <w:r>
              <w:rPr>
                <w:rFonts w:hint="eastAsia"/>
                <w:color w:val="000000"/>
                <w:sz w:val="20"/>
                <w:szCs w:val="20"/>
              </w:rPr>
              <w:t>7</w:t>
            </w:r>
            <w:r>
              <w:rPr>
                <w:rFonts w:hint="eastAsia"/>
                <w:color w:val="000000"/>
                <w:sz w:val="20"/>
                <w:szCs w:val="20"/>
                <w:lang w:val="en-US" w:eastAsia="zh-CN"/>
              </w:rPr>
              <w:t>.</w:t>
            </w:r>
            <w:r>
              <w:rPr>
                <w:rFonts w:hint="eastAsia"/>
                <w:color w:val="000000"/>
                <w:sz w:val="20"/>
                <w:szCs w:val="20"/>
              </w:rPr>
              <w:t>其他法律法规规章文件规定应履行的责任。</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center"/>
        <w:rPr>
          <w:rFonts w:hint="eastAsia" w:ascii="黑体" w:eastAsia="黑体"/>
          <w:sz w:val="32"/>
          <w:szCs w:val="32"/>
          <w:lang w:val="zh-CN" w:eastAsia="zh-CN"/>
        </w:rPr>
      </w:pPr>
      <w:r>
        <w:rPr>
          <w:rFonts w:hint="eastAsia" w:ascii="黑体" w:eastAsia="黑体"/>
          <w:sz w:val="32"/>
          <w:szCs w:val="32"/>
          <w:lang w:val="zh-CN" w:eastAsia="zh-CN"/>
        </w:rP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rPr>
                <w:rFonts w:hint="eastAsia" w:ascii="仿宋_GB2312" w:hAnsi="黑体" w:eastAsia="仿宋_GB2312" w:cs="宋体"/>
                <w:sz w:val="22"/>
                <w:lang w:eastAsia="zh-CN"/>
              </w:rPr>
            </w:pPr>
            <w:r>
              <w:rPr>
                <w:rFonts w:hint="eastAsia" w:ascii="仿宋_GB2312" w:hAnsi="黑体" w:eastAsia="仿宋_GB2312" w:cs="宋体"/>
                <w:sz w:val="22"/>
                <w:lang w:val="en-US" w:eastAsia="zh-CN"/>
              </w:rPr>
              <w:t>43</w:t>
            </w:r>
          </w:p>
        </w:tc>
        <w:tc>
          <w:tcPr>
            <w:tcW w:w="1199" w:type="dxa"/>
            <w:vMerge w:val="restart"/>
            <w:vAlign w:val="center"/>
          </w:tcPr>
          <w:p>
            <w:pPr>
              <w:spacing w:line="280" w:lineRule="exact"/>
              <w:rPr>
                <w:rFonts w:hint="eastAsia" w:ascii="仿宋_GB2312" w:hAnsi="黑体" w:eastAsia="仿宋_GB2312" w:cs="宋体"/>
                <w:spacing w:val="-20"/>
                <w:sz w:val="22"/>
              </w:rPr>
            </w:pPr>
            <w:r>
              <w:rPr>
                <w:rFonts w:hint="eastAsia"/>
                <w:sz w:val="20"/>
                <w:szCs w:val="20"/>
              </w:rPr>
              <w:t>典当行年审</w:t>
            </w:r>
            <w:r>
              <w:rPr>
                <w:rFonts w:hint="eastAsia"/>
                <w:sz w:val="20"/>
                <w:szCs w:val="20"/>
                <w:lang w:val="en-US" w:eastAsia="zh-CN"/>
              </w:rPr>
              <w:t>上报</w:t>
            </w:r>
          </w:p>
        </w:tc>
        <w:tc>
          <w:tcPr>
            <w:tcW w:w="3135" w:type="dxa"/>
            <w:vMerge w:val="restart"/>
            <w:vAlign w:val="center"/>
          </w:tcPr>
          <w:p>
            <w:pPr>
              <w:spacing w:line="280" w:lineRule="exact"/>
              <w:rPr>
                <w:rFonts w:hint="eastAsia"/>
                <w:sz w:val="20"/>
                <w:szCs w:val="20"/>
              </w:rPr>
            </w:pPr>
            <w:r>
              <w:rPr>
                <w:rFonts w:hint="eastAsia"/>
                <w:sz w:val="20"/>
                <w:szCs w:val="20"/>
                <w:lang w:val="en-US" w:eastAsia="zh-CN"/>
              </w:rPr>
              <w:t xml:space="preserve">    </w:t>
            </w:r>
            <w:r>
              <w:rPr>
                <w:rFonts w:hint="eastAsia"/>
                <w:sz w:val="20"/>
                <w:szCs w:val="20"/>
              </w:rPr>
              <w:t>《典当管理办法》（商务部、公安部令2005年第8号）第五十六条：“商务部授权省级商务主管部门对典当行今年年审。具体办法由商务部另行制定。”</w:t>
            </w:r>
          </w:p>
          <w:p>
            <w:pPr>
              <w:spacing w:line="280" w:lineRule="exact"/>
              <w:rPr>
                <w:rFonts w:hint="eastAsia" w:ascii="仿宋_GB2312" w:hAnsi="黑体" w:eastAsia="仿宋_GB2312" w:cs="宋体"/>
                <w:spacing w:val="-20"/>
                <w:sz w:val="22"/>
              </w:rPr>
            </w:pPr>
            <w:r>
              <w:rPr>
                <w:rFonts w:hint="eastAsia"/>
                <w:sz w:val="20"/>
                <w:szCs w:val="20"/>
              </w:rPr>
              <w:t xml:space="preserve">    《典当行业监管规定》（商流通发[2012]423号）第三十七条：“典当企业年审由省级商务主管部门组织实施，各地年审报告应于每年4月30日前报商务部。”                      据商务厅当年度典当企业年审工作通知授权报审。</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4239" w:type="dxa"/>
            <w:vAlign w:val="center"/>
          </w:tcPr>
          <w:p>
            <w:pPr>
              <w:widowControl/>
              <w:spacing w:line="260" w:lineRule="exact"/>
              <w:jc w:val="left"/>
              <w:rPr>
                <w:rFonts w:hint="eastAsia" w:ascii="仿宋_GB2312" w:hAnsi="黑体" w:eastAsia="仿宋_GB2312" w:cs="宋体"/>
                <w:sz w:val="15"/>
                <w:szCs w:val="15"/>
              </w:rPr>
            </w:pPr>
            <w:r>
              <w:rPr>
                <w:rFonts w:hint="eastAsia"/>
                <w:color w:val="000000"/>
                <w:sz w:val="20"/>
                <w:szCs w:val="20"/>
              </w:rPr>
              <w:t>1</w:t>
            </w:r>
            <w:r>
              <w:rPr>
                <w:rFonts w:hint="eastAsia"/>
                <w:color w:val="000000"/>
                <w:sz w:val="20"/>
                <w:szCs w:val="20"/>
                <w:lang w:val="en-US" w:eastAsia="zh-CN"/>
              </w:rPr>
              <w:t>.</w:t>
            </w:r>
            <w:r>
              <w:rPr>
                <w:rFonts w:hint="eastAsia"/>
                <w:color w:val="000000"/>
                <w:sz w:val="20"/>
                <w:szCs w:val="20"/>
              </w:rPr>
              <w:t>受理阶段责任：公示依法应当提交的材料；一次性告知补正材料；依法受理或不予受理（不予受理的告知理由）。</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4239" w:type="dxa"/>
            <w:vAlign w:val="center"/>
          </w:tcPr>
          <w:p>
            <w:pPr>
              <w:widowControl/>
              <w:spacing w:line="260" w:lineRule="exact"/>
              <w:jc w:val="left"/>
              <w:rPr>
                <w:rFonts w:hint="eastAsia" w:ascii="仿宋_GB2312" w:hAnsi="仿宋_GB2312" w:eastAsia="仿宋_GB2312"/>
                <w:spacing w:val="-20"/>
                <w:sz w:val="15"/>
                <w:szCs w:val="15"/>
              </w:rPr>
            </w:pPr>
            <w:r>
              <w:rPr>
                <w:rFonts w:hint="eastAsia"/>
                <w:color w:val="000000"/>
                <w:sz w:val="20"/>
                <w:szCs w:val="20"/>
              </w:rPr>
              <w:t>2</w:t>
            </w:r>
            <w:r>
              <w:rPr>
                <w:rFonts w:hint="eastAsia"/>
                <w:color w:val="000000"/>
                <w:sz w:val="20"/>
                <w:szCs w:val="20"/>
                <w:lang w:val="en-US" w:eastAsia="zh-CN"/>
              </w:rPr>
              <w:t>.</w:t>
            </w:r>
            <w:r>
              <w:rPr>
                <w:rFonts w:hint="eastAsia"/>
                <w:color w:val="000000"/>
                <w:sz w:val="20"/>
                <w:szCs w:val="20"/>
              </w:rPr>
              <w:t>审查阶段责任：审核行政相对人申报典当经营许可的材料,提出初审意见。</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4239" w:type="dxa"/>
            <w:vAlign w:val="center"/>
          </w:tcPr>
          <w:p>
            <w:pPr>
              <w:widowControl/>
              <w:spacing w:line="260" w:lineRule="exact"/>
              <w:jc w:val="left"/>
              <w:rPr>
                <w:rFonts w:hint="eastAsia" w:ascii="仿宋_GB2312" w:hAnsi="仿宋_GB2312" w:eastAsia="仿宋_GB2312"/>
                <w:spacing w:val="-20"/>
                <w:sz w:val="15"/>
                <w:szCs w:val="15"/>
              </w:rPr>
            </w:pPr>
            <w:r>
              <w:rPr>
                <w:rFonts w:hint="eastAsia"/>
                <w:color w:val="000000"/>
                <w:sz w:val="20"/>
                <w:szCs w:val="20"/>
              </w:rPr>
              <w:t>3</w:t>
            </w:r>
            <w:r>
              <w:rPr>
                <w:rFonts w:hint="eastAsia"/>
                <w:color w:val="000000"/>
                <w:sz w:val="20"/>
                <w:szCs w:val="20"/>
                <w:lang w:val="en-US" w:eastAsia="zh-CN"/>
              </w:rPr>
              <w:t>.</w:t>
            </w:r>
            <w:r>
              <w:rPr>
                <w:rFonts w:hint="eastAsia"/>
                <w:color w:val="000000"/>
                <w:sz w:val="20"/>
                <w:szCs w:val="20"/>
              </w:rPr>
              <w:t>决定阶段责任：作出初审决定（不予许可的告知理由）；按时办结；法定告知。</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4239" w:type="dxa"/>
            <w:vAlign w:val="center"/>
          </w:tcPr>
          <w:p>
            <w:pPr>
              <w:widowControl/>
              <w:spacing w:line="260" w:lineRule="exact"/>
              <w:jc w:val="left"/>
              <w:rPr>
                <w:rFonts w:hint="eastAsia" w:ascii="仿宋_GB2312" w:hAnsi="仿宋_GB2312" w:eastAsia="仿宋_GB2312"/>
                <w:spacing w:val="-20"/>
                <w:sz w:val="15"/>
                <w:szCs w:val="15"/>
              </w:rPr>
            </w:pPr>
            <w:r>
              <w:rPr>
                <w:rFonts w:hint="eastAsia"/>
                <w:color w:val="000000"/>
                <w:sz w:val="20"/>
                <w:szCs w:val="20"/>
              </w:rPr>
              <w:t>4</w:t>
            </w:r>
            <w:r>
              <w:rPr>
                <w:rFonts w:hint="eastAsia"/>
                <w:color w:val="000000"/>
                <w:sz w:val="20"/>
                <w:szCs w:val="20"/>
                <w:lang w:val="en-US" w:eastAsia="zh-CN"/>
              </w:rPr>
              <w:t>.</w:t>
            </w:r>
            <w:r>
              <w:rPr>
                <w:rFonts w:hint="eastAsia"/>
                <w:color w:val="000000"/>
                <w:sz w:val="20"/>
                <w:szCs w:val="20"/>
              </w:rPr>
              <w:t>送达阶段责任： 制发转报文书</w:t>
            </w:r>
            <w:r>
              <w:rPr>
                <w:rFonts w:hint="eastAsia"/>
                <w:color w:val="000000"/>
                <w:sz w:val="20"/>
                <w:szCs w:val="20"/>
                <w:lang w:eastAsia="zh-CN"/>
              </w:rPr>
              <w:t>，送达</w:t>
            </w:r>
            <w:r>
              <w:rPr>
                <w:rFonts w:hint="eastAsia"/>
                <w:color w:val="000000"/>
                <w:sz w:val="20"/>
                <w:szCs w:val="20"/>
                <w:lang w:val="en-US" w:eastAsia="zh-CN"/>
              </w:rPr>
              <w:t>市</w:t>
            </w:r>
            <w:r>
              <w:rPr>
                <w:rFonts w:hint="eastAsia"/>
                <w:color w:val="000000"/>
                <w:sz w:val="20"/>
                <w:szCs w:val="20"/>
                <w:lang w:eastAsia="zh-CN"/>
              </w:rPr>
              <w:t>商务</w:t>
            </w:r>
            <w:r>
              <w:rPr>
                <w:rFonts w:hint="eastAsia"/>
                <w:color w:val="000000"/>
                <w:sz w:val="20"/>
                <w:szCs w:val="20"/>
                <w:lang w:val="en-US" w:eastAsia="zh-CN"/>
              </w:rPr>
              <w:t>局</w:t>
            </w:r>
            <w:r>
              <w:rPr>
                <w:rFonts w:hint="eastAsia"/>
                <w:color w:val="000000"/>
                <w:sz w:val="20"/>
                <w:szCs w:val="20"/>
              </w:rPr>
              <w:t>；信息公开。</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4239" w:type="dxa"/>
            <w:vAlign w:val="center"/>
          </w:tcPr>
          <w:p>
            <w:pPr>
              <w:widowControl/>
              <w:spacing w:line="260" w:lineRule="exact"/>
              <w:jc w:val="left"/>
              <w:rPr>
                <w:rFonts w:hint="eastAsia" w:ascii="仿宋_GB2312" w:hAnsi="仿宋_GB2312" w:eastAsia="仿宋_GB2312"/>
                <w:spacing w:val="-20"/>
                <w:sz w:val="15"/>
                <w:szCs w:val="15"/>
              </w:rPr>
            </w:pPr>
            <w:r>
              <w:rPr>
                <w:rFonts w:hint="eastAsia"/>
                <w:color w:val="000000"/>
                <w:sz w:val="20"/>
                <w:szCs w:val="20"/>
              </w:rPr>
              <w:t>5</w:t>
            </w:r>
            <w:r>
              <w:rPr>
                <w:rFonts w:hint="eastAsia"/>
                <w:color w:val="000000"/>
                <w:sz w:val="20"/>
                <w:szCs w:val="20"/>
                <w:lang w:val="en-US" w:eastAsia="zh-CN"/>
              </w:rPr>
              <w:t>.</w:t>
            </w:r>
            <w:r>
              <w:rPr>
                <w:rFonts w:hint="eastAsia"/>
                <w:color w:val="000000"/>
                <w:sz w:val="20"/>
                <w:szCs w:val="20"/>
              </w:rPr>
              <w:t>事后监管责任：开展定期和不定期检查，并根据全国典当行业信息管理系统，实时了解企业经营情况，督促行政相对人依法开展典当业务。</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仿宋_GB2312" w:hAnsi="黑体" w:eastAsia="仿宋_GB2312" w:cs="宋体"/>
                <w:spacing w:val="-20"/>
                <w:sz w:val="22"/>
              </w:rPr>
              <w:t>信息公开</w:t>
            </w:r>
          </w:p>
        </w:tc>
        <w:tc>
          <w:tcPr>
            <w:tcW w:w="4239" w:type="dxa"/>
            <w:vAlign w:val="center"/>
          </w:tcPr>
          <w:p>
            <w:pPr>
              <w:widowControl/>
              <w:spacing w:line="260" w:lineRule="exact"/>
              <w:jc w:val="left"/>
              <w:rPr>
                <w:rFonts w:hint="eastAsia" w:ascii="仿宋_GB2312" w:hAnsi="仿宋_GB2312" w:eastAsia="仿宋_GB2312"/>
                <w:spacing w:val="-20"/>
                <w:sz w:val="15"/>
                <w:szCs w:val="15"/>
              </w:rPr>
            </w:pPr>
            <w:r>
              <w:rPr>
                <w:rFonts w:hint="eastAsia"/>
                <w:color w:val="000000"/>
                <w:sz w:val="20"/>
                <w:szCs w:val="20"/>
              </w:rPr>
              <w:t>6</w:t>
            </w:r>
            <w:r>
              <w:rPr>
                <w:rFonts w:hint="eastAsia"/>
                <w:color w:val="000000"/>
                <w:sz w:val="20"/>
                <w:szCs w:val="20"/>
                <w:lang w:val="en-US" w:eastAsia="zh-CN"/>
              </w:rPr>
              <w:t>.</w:t>
            </w:r>
            <w:r>
              <w:rPr>
                <w:rFonts w:hint="eastAsia"/>
                <w:color w:val="000000"/>
                <w:sz w:val="20"/>
                <w:szCs w:val="20"/>
              </w:rPr>
              <w:t>信息公开责任：定期发布</w:t>
            </w:r>
            <w:r>
              <w:rPr>
                <w:rFonts w:hint="eastAsia"/>
                <w:color w:val="000000"/>
                <w:sz w:val="20"/>
                <w:szCs w:val="20"/>
                <w:lang w:eastAsia="zh-CN"/>
              </w:rPr>
              <w:t>年审</w:t>
            </w:r>
            <w:r>
              <w:rPr>
                <w:rFonts w:hint="eastAsia"/>
                <w:color w:val="000000"/>
                <w:sz w:val="20"/>
                <w:szCs w:val="20"/>
              </w:rPr>
              <w:t>结果。</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p>
        </w:tc>
        <w:tc>
          <w:tcPr>
            <w:tcW w:w="4239" w:type="dxa"/>
            <w:vAlign w:val="center"/>
          </w:tcPr>
          <w:p>
            <w:pPr>
              <w:spacing w:line="260" w:lineRule="exact"/>
              <w:jc w:val="left"/>
              <w:rPr>
                <w:rFonts w:hint="eastAsia" w:ascii="仿宋_GB2312" w:hAnsi="仿宋_GB2312" w:eastAsia="仿宋_GB2312"/>
                <w:sz w:val="15"/>
                <w:szCs w:val="15"/>
              </w:rPr>
            </w:pPr>
            <w:r>
              <w:rPr>
                <w:rFonts w:hint="eastAsia"/>
                <w:color w:val="000000"/>
                <w:sz w:val="20"/>
                <w:szCs w:val="20"/>
              </w:rPr>
              <w:t>7</w:t>
            </w:r>
            <w:r>
              <w:rPr>
                <w:rFonts w:hint="eastAsia"/>
                <w:color w:val="000000"/>
                <w:sz w:val="20"/>
                <w:szCs w:val="20"/>
                <w:lang w:val="en-US" w:eastAsia="zh-CN"/>
              </w:rPr>
              <w:t>.</w:t>
            </w:r>
            <w:r>
              <w:rPr>
                <w:rFonts w:hint="eastAsia"/>
                <w:color w:val="000000"/>
                <w:sz w:val="20"/>
                <w:szCs w:val="20"/>
              </w:rPr>
              <w:t>其他法律法规规章文件规定应履行的责任。</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center"/>
        <w:rPr>
          <w:rFonts w:hint="eastAsia" w:ascii="黑体" w:eastAsia="黑体"/>
          <w:sz w:val="32"/>
          <w:szCs w:val="32"/>
          <w:lang w:val="zh-CN" w:eastAsia="zh-CN"/>
        </w:rPr>
      </w:pPr>
      <w:r>
        <w:rPr>
          <w:rFonts w:hint="eastAsia" w:ascii="黑体" w:eastAsia="黑体"/>
          <w:sz w:val="32"/>
          <w:szCs w:val="32"/>
          <w:lang w:val="zh-CN" w:eastAsia="zh-CN"/>
        </w:rP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rPr>
                <w:rFonts w:hint="eastAsia" w:ascii="仿宋_GB2312" w:hAnsi="黑体" w:eastAsia="仿宋_GB2312" w:cs="宋体"/>
                <w:sz w:val="22"/>
                <w:lang w:eastAsia="zh-CN"/>
              </w:rPr>
            </w:pPr>
            <w:r>
              <w:rPr>
                <w:rFonts w:hint="eastAsia" w:ascii="仿宋_GB2312" w:hAnsi="黑体" w:eastAsia="仿宋_GB2312" w:cs="宋体"/>
                <w:sz w:val="22"/>
                <w:lang w:val="en-US" w:eastAsia="zh-CN"/>
              </w:rPr>
              <w:t>44</w:t>
            </w:r>
          </w:p>
        </w:tc>
        <w:tc>
          <w:tcPr>
            <w:tcW w:w="1199" w:type="dxa"/>
            <w:vMerge w:val="restart"/>
            <w:vAlign w:val="center"/>
          </w:tcPr>
          <w:p>
            <w:pPr>
              <w:spacing w:line="280" w:lineRule="exact"/>
              <w:rPr>
                <w:rFonts w:hint="eastAsia" w:ascii="仿宋_GB2312" w:hAnsi="黑体" w:eastAsia="仿宋_GB2312" w:cs="宋体"/>
                <w:spacing w:val="-20"/>
                <w:sz w:val="22"/>
              </w:rPr>
            </w:pPr>
            <w:r>
              <w:rPr>
                <w:rFonts w:hint="eastAsia"/>
                <w:sz w:val="20"/>
                <w:szCs w:val="20"/>
              </w:rPr>
              <w:t>典当行季度核查</w:t>
            </w:r>
          </w:p>
        </w:tc>
        <w:tc>
          <w:tcPr>
            <w:tcW w:w="3135" w:type="dxa"/>
            <w:vMerge w:val="restart"/>
            <w:vAlign w:val="center"/>
          </w:tcPr>
          <w:p>
            <w:pPr>
              <w:spacing w:line="280" w:lineRule="exact"/>
              <w:ind w:firstLine="400" w:firstLineChars="200"/>
              <w:jc w:val="left"/>
              <w:rPr>
                <w:rFonts w:hint="eastAsia"/>
                <w:sz w:val="20"/>
                <w:szCs w:val="20"/>
              </w:rPr>
            </w:pPr>
            <w:r>
              <w:rPr>
                <w:rFonts w:hint="eastAsia"/>
                <w:sz w:val="20"/>
                <w:szCs w:val="20"/>
              </w:rPr>
              <w:t>《商务部办公厅关于进一步完善典当业监管及风险防范制度的通知》（豫商建[2008]119号）第三条“省级商务主管部门要分别在每季度第一个月10日前和每年4月12日前，将本地区典当业季度情况分析核查报告和年审报告正式报送商务部”。</w:t>
            </w:r>
          </w:p>
          <w:p>
            <w:pPr>
              <w:spacing w:line="280" w:lineRule="exact"/>
              <w:ind w:firstLine="400" w:firstLineChars="200"/>
              <w:jc w:val="left"/>
              <w:rPr>
                <w:rFonts w:hint="eastAsia" w:ascii="仿宋_GB2312" w:hAnsi="黑体" w:eastAsia="仿宋_GB2312" w:cs="宋体"/>
                <w:spacing w:val="-20"/>
                <w:sz w:val="22"/>
              </w:rPr>
            </w:pPr>
            <w:r>
              <w:rPr>
                <w:rFonts w:hint="eastAsia"/>
                <w:sz w:val="20"/>
                <w:szCs w:val="20"/>
              </w:rPr>
              <w:t>据商务厅授权对辖区内典当企业进行季度现场核查。</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4239" w:type="dxa"/>
            <w:vAlign w:val="center"/>
          </w:tcPr>
          <w:p>
            <w:pPr>
              <w:widowControl/>
              <w:spacing w:line="240" w:lineRule="exact"/>
              <w:jc w:val="left"/>
              <w:rPr>
                <w:rFonts w:hint="eastAsia" w:ascii="仿宋_GB2312" w:hAnsi="黑体" w:eastAsia="仿宋_GB2312" w:cs="宋体"/>
                <w:sz w:val="15"/>
                <w:szCs w:val="15"/>
              </w:rPr>
            </w:pPr>
            <w:r>
              <w:rPr>
                <w:rFonts w:hint="eastAsia"/>
                <w:color w:val="000000"/>
                <w:sz w:val="20"/>
                <w:szCs w:val="20"/>
              </w:rPr>
              <w:t>1</w:t>
            </w:r>
            <w:r>
              <w:rPr>
                <w:rFonts w:hint="eastAsia"/>
                <w:color w:val="000000"/>
                <w:sz w:val="20"/>
                <w:szCs w:val="20"/>
                <w:lang w:val="en-US" w:eastAsia="zh-CN"/>
              </w:rPr>
              <w:t>.</w:t>
            </w:r>
            <w:r>
              <w:rPr>
                <w:rFonts w:hint="eastAsia"/>
                <w:color w:val="000000"/>
                <w:sz w:val="20"/>
                <w:szCs w:val="20"/>
              </w:rPr>
              <w:t>受理阶段责任：公示依法应当提交的材料；一次性告知补正材料；依法受理或不予受理（不予受理的告知理由）。</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1</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4239" w:type="dxa"/>
            <w:vAlign w:val="center"/>
          </w:tcPr>
          <w:p>
            <w:pPr>
              <w:widowControl/>
              <w:spacing w:line="240" w:lineRule="exact"/>
              <w:jc w:val="left"/>
              <w:rPr>
                <w:rFonts w:hint="eastAsia" w:ascii="仿宋_GB2312" w:hAnsi="仿宋_GB2312" w:eastAsia="仿宋_GB2312"/>
                <w:spacing w:val="-20"/>
                <w:sz w:val="15"/>
                <w:szCs w:val="15"/>
              </w:rPr>
            </w:pPr>
            <w:r>
              <w:rPr>
                <w:rFonts w:hint="eastAsia"/>
                <w:color w:val="000000"/>
                <w:sz w:val="20"/>
                <w:szCs w:val="20"/>
              </w:rPr>
              <w:t>2</w:t>
            </w:r>
            <w:r>
              <w:rPr>
                <w:rFonts w:hint="eastAsia"/>
                <w:color w:val="000000"/>
                <w:sz w:val="20"/>
                <w:szCs w:val="20"/>
                <w:lang w:val="en-US" w:eastAsia="zh-CN"/>
              </w:rPr>
              <w:t>.</w:t>
            </w:r>
            <w:r>
              <w:rPr>
                <w:rFonts w:hint="eastAsia"/>
                <w:color w:val="000000"/>
                <w:sz w:val="20"/>
                <w:szCs w:val="20"/>
              </w:rPr>
              <w:t>审查阶段责任：审核行政相对人申报典当经营许可的材料,提出初审意见。</w:t>
            </w:r>
            <w:r>
              <w:rPr>
                <w:rFonts w:hint="eastAsia"/>
                <w:color w:val="000000"/>
                <w:sz w:val="20"/>
                <w:szCs w:val="20"/>
              </w:rPr>
              <w:br w:type="textWrapping"/>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4239" w:type="dxa"/>
            <w:vAlign w:val="center"/>
          </w:tcPr>
          <w:p>
            <w:pPr>
              <w:widowControl/>
              <w:spacing w:line="240" w:lineRule="exact"/>
              <w:jc w:val="left"/>
              <w:rPr>
                <w:rFonts w:hint="eastAsia" w:ascii="仿宋_GB2312" w:hAnsi="仿宋_GB2312" w:eastAsia="仿宋_GB2312"/>
                <w:spacing w:val="-20"/>
                <w:sz w:val="15"/>
                <w:szCs w:val="15"/>
              </w:rPr>
            </w:pPr>
            <w:r>
              <w:rPr>
                <w:rFonts w:hint="eastAsia"/>
                <w:color w:val="000000"/>
                <w:sz w:val="20"/>
                <w:szCs w:val="20"/>
              </w:rPr>
              <w:t>3</w:t>
            </w:r>
            <w:r>
              <w:rPr>
                <w:rFonts w:hint="eastAsia"/>
                <w:color w:val="000000"/>
                <w:sz w:val="20"/>
                <w:szCs w:val="20"/>
                <w:lang w:val="en-US" w:eastAsia="zh-CN"/>
              </w:rPr>
              <w:t>.</w:t>
            </w:r>
            <w:r>
              <w:rPr>
                <w:rFonts w:hint="eastAsia"/>
                <w:color w:val="000000"/>
                <w:sz w:val="20"/>
                <w:szCs w:val="20"/>
              </w:rPr>
              <w:t>决定阶段责任：作出初审决定（不予许可的告知理由）；按时办结；法定告知。</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4239" w:type="dxa"/>
            <w:vAlign w:val="center"/>
          </w:tcPr>
          <w:p>
            <w:pPr>
              <w:widowControl/>
              <w:spacing w:line="240" w:lineRule="exact"/>
              <w:jc w:val="left"/>
              <w:rPr>
                <w:rFonts w:hint="eastAsia" w:ascii="仿宋_GB2312" w:hAnsi="仿宋_GB2312" w:eastAsia="仿宋_GB2312"/>
                <w:spacing w:val="-20"/>
                <w:sz w:val="15"/>
                <w:szCs w:val="15"/>
              </w:rPr>
            </w:pPr>
            <w:r>
              <w:rPr>
                <w:rFonts w:hint="eastAsia"/>
                <w:color w:val="000000"/>
                <w:sz w:val="20"/>
                <w:szCs w:val="20"/>
              </w:rPr>
              <w:t>4</w:t>
            </w:r>
            <w:r>
              <w:rPr>
                <w:rFonts w:hint="eastAsia"/>
                <w:color w:val="000000"/>
                <w:sz w:val="20"/>
                <w:szCs w:val="20"/>
                <w:lang w:val="en-US" w:eastAsia="zh-CN"/>
              </w:rPr>
              <w:t>.</w:t>
            </w:r>
            <w:r>
              <w:rPr>
                <w:rFonts w:hint="eastAsia"/>
                <w:color w:val="000000"/>
                <w:sz w:val="20"/>
                <w:szCs w:val="20"/>
              </w:rPr>
              <w:t>送达阶段责任： 制发转报文书</w:t>
            </w:r>
            <w:r>
              <w:rPr>
                <w:rFonts w:hint="eastAsia"/>
                <w:color w:val="000000"/>
                <w:sz w:val="20"/>
                <w:szCs w:val="20"/>
                <w:lang w:eastAsia="zh-CN"/>
              </w:rPr>
              <w:t>，送达</w:t>
            </w:r>
            <w:r>
              <w:rPr>
                <w:rFonts w:hint="eastAsia"/>
                <w:color w:val="000000"/>
                <w:sz w:val="20"/>
                <w:szCs w:val="20"/>
                <w:lang w:val="en-US" w:eastAsia="zh-CN"/>
              </w:rPr>
              <w:t>市</w:t>
            </w:r>
            <w:r>
              <w:rPr>
                <w:rFonts w:hint="eastAsia"/>
                <w:color w:val="000000"/>
                <w:sz w:val="20"/>
                <w:szCs w:val="20"/>
                <w:lang w:eastAsia="zh-CN"/>
              </w:rPr>
              <w:t>商务</w:t>
            </w:r>
            <w:r>
              <w:rPr>
                <w:rFonts w:hint="eastAsia"/>
                <w:color w:val="000000"/>
                <w:sz w:val="20"/>
                <w:szCs w:val="20"/>
                <w:lang w:val="en-US" w:eastAsia="zh-CN"/>
              </w:rPr>
              <w:t>局</w:t>
            </w:r>
            <w:r>
              <w:rPr>
                <w:rFonts w:hint="eastAsia"/>
                <w:color w:val="000000"/>
                <w:sz w:val="20"/>
                <w:szCs w:val="20"/>
              </w:rPr>
              <w:t>；信息公开。</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4239" w:type="dxa"/>
            <w:vAlign w:val="center"/>
          </w:tcPr>
          <w:p>
            <w:pPr>
              <w:widowControl/>
              <w:spacing w:line="240" w:lineRule="exact"/>
              <w:jc w:val="left"/>
              <w:rPr>
                <w:rFonts w:hint="eastAsia" w:ascii="仿宋_GB2312" w:hAnsi="仿宋_GB2312" w:eastAsia="仿宋_GB2312"/>
                <w:spacing w:val="-20"/>
                <w:sz w:val="15"/>
                <w:szCs w:val="15"/>
              </w:rPr>
            </w:pPr>
            <w:r>
              <w:rPr>
                <w:rFonts w:hint="eastAsia"/>
                <w:color w:val="000000"/>
                <w:sz w:val="20"/>
                <w:szCs w:val="20"/>
              </w:rPr>
              <w:t>5</w:t>
            </w:r>
            <w:r>
              <w:rPr>
                <w:rFonts w:hint="eastAsia"/>
                <w:color w:val="000000"/>
                <w:sz w:val="20"/>
                <w:szCs w:val="20"/>
                <w:lang w:val="en-US" w:eastAsia="zh-CN"/>
              </w:rPr>
              <w:t>.</w:t>
            </w:r>
            <w:r>
              <w:rPr>
                <w:rFonts w:hint="eastAsia"/>
                <w:color w:val="000000"/>
                <w:sz w:val="20"/>
                <w:szCs w:val="20"/>
              </w:rPr>
              <w:t>事后监管责任：开展定期和不定期检查，并根据全国典当行业信息管理系统，实时了解企业经营情况，督促行政相对人依法开展典当业务。</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仿宋_GB2312" w:hAnsi="黑体" w:eastAsia="仿宋_GB2312" w:cs="宋体"/>
                <w:spacing w:val="-20"/>
                <w:sz w:val="22"/>
              </w:rPr>
              <w:t>信息公开</w:t>
            </w:r>
          </w:p>
        </w:tc>
        <w:tc>
          <w:tcPr>
            <w:tcW w:w="4239" w:type="dxa"/>
            <w:vAlign w:val="center"/>
          </w:tcPr>
          <w:p>
            <w:pPr>
              <w:widowControl/>
              <w:spacing w:line="240" w:lineRule="exact"/>
              <w:jc w:val="left"/>
              <w:rPr>
                <w:rFonts w:hint="eastAsia" w:ascii="仿宋_GB2312" w:hAnsi="仿宋_GB2312" w:eastAsia="仿宋_GB2312"/>
                <w:spacing w:val="-20"/>
                <w:sz w:val="15"/>
                <w:szCs w:val="15"/>
              </w:rPr>
            </w:pPr>
            <w:r>
              <w:rPr>
                <w:rFonts w:hint="eastAsia"/>
                <w:color w:val="000000"/>
                <w:sz w:val="20"/>
                <w:szCs w:val="20"/>
              </w:rPr>
              <w:t>6</w:t>
            </w:r>
            <w:r>
              <w:rPr>
                <w:rFonts w:hint="eastAsia"/>
                <w:color w:val="000000"/>
                <w:sz w:val="20"/>
                <w:szCs w:val="20"/>
                <w:lang w:val="en-US" w:eastAsia="zh-CN"/>
              </w:rPr>
              <w:t>.</w:t>
            </w:r>
            <w:r>
              <w:rPr>
                <w:rFonts w:hint="eastAsia"/>
                <w:color w:val="000000"/>
                <w:sz w:val="20"/>
                <w:szCs w:val="20"/>
              </w:rPr>
              <w:t>信息公开责任：定期发布审批结果。</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p>
        </w:tc>
        <w:tc>
          <w:tcPr>
            <w:tcW w:w="4239" w:type="dxa"/>
            <w:vAlign w:val="center"/>
          </w:tcPr>
          <w:p>
            <w:pPr>
              <w:widowControl/>
              <w:spacing w:line="240" w:lineRule="exact"/>
              <w:jc w:val="left"/>
              <w:rPr>
                <w:rFonts w:hint="eastAsia" w:ascii="仿宋_GB2312" w:hAnsi="仿宋_GB2312" w:eastAsia="仿宋_GB2312"/>
                <w:sz w:val="15"/>
                <w:szCs w:val="15"/>
              </w:rPr>
            </w:pPr>
            <w:r>
              <w:rPr>
                <w:rFonts w:hint="eastAsia"/>
                <w:color w:val="000000"/>
                <w:sz w:val="20"/>
                <w:szCs w:val="20"/>
              </w:rPr>
              <w:t>7</w:t>
            </w:r>
            <w:r>
              <w:rPr>
                <w:rFonts w:hint="eastAsia"/>
                <w:color w:val="000000"/>
                <w:sz w:val="20"/>
                <w:szCs w:val="20"/>
                <w:lang w:val="en-US" w:eastAsia="zh-CN"/>
              </w:rPr>
              <w:t>.</w:t>
            </w:r>
            <w:r>
              <w:rPr>
                <w:rFonts w:hint="eastAsia"/>
                <w:color w:val="000000"/>
                <w:sz w:val="20"/>
                <w:szCs w:val="20"/>
              </w:rPr>
              <w:t>其他法律法规规章文件规定应履行的责任。</w:t>
            </w:r>
          </w:p>
        </w:tc>
        <w:tc>
          <w:tcPr>
            <w:tcW w:w="1155"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市场体系建设股</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center"/>
        <w:rPr>
          <w:rFonts w:hint="eastAsia" w:ascii="黑体" w:eastAsia="黑体"/>
          <w:sz w:val="32"/>
          <w:szCs w:val="32"/>
          <w:lang w:val="zh-CN" w:eastAsia="zh-CN"/>
        </w:rPr>
      </w:pPr>
      <w:r>
        <w:rPr>
          <w:rFonts w:hint="eastAsia" w:ascii="黑体" w:eastAsia="黑体"/>
          <w:sz w:val="32"/>
          <w:szCs w:val="32"/>
          <w:lang w:val="zh-CN" w:eastAsia="zh-CN"/>
        </w:rP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7" w:hRule="atLeast"/>
          <w:jc w:val="center"/>
        </w:trPr>
        <w:tc>
          <w:tcPr>
            <w:tcW w:w="718" w:type="dxa"/>
            <w:vMerge w:val="restart"/>
            <w:vAlign w:val="center"/>
          </w:tcPr>
          <w:p>
            <w:pPr>
              <w:spacing w:line="560" w:lineRule="exact"/>
              <w:rPr>
                <w:rFonts w:hint="eastAsia" w:ascii="仿宋_GB2312" w:hAnsi="黑体" w:eastAsia="仿宋_GB2312" w:cs="宋体"/>
                <w:sz w:val="22"/>
                <w:lang w:eastAsia="zh-CN"/>
              </w:rPr>
            </w:pPr>
            <w:r>
              <w:rPr>
                <w:rFonts w:hint="eastAsia" w:ascii="仿宋_GB2312" w:hAnsi="黑体" w:eastAsia="仿宋_GB2312" w:cs="宋体"/>
                <w:sz w:val="22"/>
                <w:lang w:val="en-US" w:eastAsia="zh-CN"/>
              </w:rPr>
              <w:t>45</w:t>
            </w:r>
          </w:p>
        </w:tc>
        <w:tc>
          <w:tcPr>
            <w:tcW w:w="1199" w:type="dxa"/>
            <w:vMerge w:val="restart"/>
            <w:vAlign w:val="center"/>
          </w:tcPr>
          <w:p>
            <w:pPr>
              <w:spacing w:line="280" w:lineRule="exact"/>
              <w:jc w:val="left"/>
              <w:rPr>
                <w:rFonts w:hint="eastAsia" w:ascii="仿宋_GB2312" w:hAnsi="黑体" w:eastAsia="仿宋_GB2312" w:cs="宋体"/>
                <w:spacing w:val="-20"/>
                <w:sz w:val="22"/>
              </w:rPr>
            </w:pPr>
            <w:r>
              <w:rPr>
                <w:rFonts w:hint="eastAsia"/>
                <w:sz w:val="20"/>
                <w:szCs w:val="20"/>
              </w:rPr>
              <w:t>典当行现场检查</w:t>
            </w:r>
          </w:p>
        </w:tc>
        <w:tc>
          <w:tcPr>
            <w:tcW w:w="3135" w:type="dxa"/>
            <w:vMerge w:val="restart"/>
            <w:vAlign w:val="center"/>
          </w:tcPr>
          <w:p>
            <w:pPr>
              <w:spacing w:line="240" w:lineRule="exact"/>
              <w:ind w:firstLine="360" w:firstLineChars="200"/>
              <w:jc w:val="left"/>
              <w:rPr>
                <w:rFonts w:hint="eastAsia"/>
                <w:sz w:val="18"/>
                <w:szCs w:val="18"/>
              </w:rPr>
            </w:pPr>
            <w:r>
              <w:rPr>
                <w:rFonts w:hint="eastAsia"/>
                <w:sz w:val="18"/>
                <w:szCs w:val="18"/>
              </w:rPr>
              <w:t xml:space="preserve">《商务部办公厅关于加强典当行业监管工作的通知》（商办建函[2009]81号）第二条：“现场监管工作以地市级商务主管部门为主，每月选择本辖区30%的典当企业进行现场检查” </w:t>
            </w:r>
          </w:p>
          <w:p>
            <w:pPr>
              <w:spacing w:line="240" w:lineRule="exact"/>
              <w:ind w:firstLine="360" w:firstLineChars="200"/>
              <w:jc w:val="left"/>
              <w:rPr>
                <w:rFonts w:hint="eastAsia" w:ascii="仿宋_GB2312" w:hAnsi="黑体" w:eastAsia="仿宋_GB2312" w:cs="宋体"/>
                <w:spacing w:val="-20"/>
                <w:sz w:val="18"/>
                <w:szCs w:val="18"/>
              </w:rPr>
            </w:pPr>
            <w:r>
              <w:rPr>
                <w:rFonts w:hint="eastAsia"/>
                <w:sz w:val="18"/>
                <w:szCs w:val="18"/>
              </w:rPr>
              <w:t>《典当行业监管规定》（商流通发[2012]423号）第二章第八条：“地市级（含直辖市区县、省管县）商务主管部门负责本地区典当行业的日常监管，建立现场检查和约谈制度，实行动态监管和全过程监督，及时预警和防范风险，重点监督典当企业经营合规性和业务、财务数据真实性，及时防范和纠正违规违法行为，开展各种方式的监管工作，每半年至少对本行政区域内典当企业进行一次现场检查。”</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39"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7"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7"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7"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center"/>
        <w:rPr>
          <w:rFonts w:hint="eastAsia" w:ascii="黑体" w:eastAsia="黑体"/>
          <w:sz w:val="32"/>
          <w:szCs w:val="32"/>
          <w:lang w:val="zh-CN"/>
        </w:rPr>
      </w:pPr>
      <w:r>
        <w:rPr>
          <w:rFonts w:hint="eastAsia" w:ascii="黑体" w:eastAsia="黑体"/>
          <w:sz w:val="32"/>
          <w:szCs w:val="32"/>
          <w:lang w:val="zh-CN" w:eastAsia="zh-CN"/>
        </w:rPr>
        <w:br w:type="page"/>
      </w: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66" w:hRule="atLeast"/>
          <w:jc w:val="center"/>
        </w:trPr>
        <w:tc>
          <w:tcPr>
            <w:tcW w:w="718" w:type="dxa"/>
            <w:vMerge w:val="restart"/>
            <w:vAlign w:val="center"/>
          </w:tcPr>
          <w:p>
            <w:pPr>
              <w:spacing w:line="560" w:lineRule="exact"/>
              <w:rPr>
                <w:rFonts w:hint="eastAsia" w:ascii="仿宋_GB2312" w:hAnsi="黑体" w:eastAsia="仿宋_GB2312" w:cs="宋体"/>
                <w:sz w:val="22"/>
                <w:lang w:eastAsia="zh-CN"/>
              </w:rPr>
            </w:pPr>
            <w:r>
              <w:rPr>
                <w:rFonts w:hint="eastAsia" w:ascii="仿宋_GB2312" w:hAnsi="黑体" w:eastAsia="仿宋_GB2312" w:cs="宋体"/>
                <w:sz w:val="22"/>
                <w:lang w:val="en-US" w:eastAsia="zh-CN"/>
              </w:rPr>
              <w:t>46</w:t>
            </w:r>
          </w:p>
        </w:tc>
        <w:tc>
          <w:tcPr>
            <w:tcW w:w="1199" w:type="dxa"/>
            <w:vMerge w:val="restart"/>
            <w:vAlign w:val="center"/>
          </w:tcPr>
          <w:p>
            <w:pPr>
              <w:spacing w:line="280" w:lineRule="exact"/>
              <w:rPr>
                <w:rFonts w:hint="eastAsia" w:ascii="仿宋_GB2312" w:hAnsi="黑体" w:eastAsia="仿宋_GB2312" w:cs="宋体"/>
                <w:spacing w:val="-20"/>
                <w:sz w:val="22"/>
              </w:rPr>
            </w:pPr>
            <w:r>
              <w:rPr>
                <w:rFonts w:hint="eastAsia"/>
                <w:sz w:val="20"/>
                <w:szCs w:val="20"/>
              </w:rPr>
              <w:t>二手车交易市场经营者和经营主体检查</w:t>
            </w:r>
          </w:p>
        </w:tc>
        <w:tc>
          <w:tcPr>
            <w:tcW w:w="3135" w:type="dxa"/>
            <w:vMerge w:val="restart"/>
            <w:vAlign w:val="center"/>
          </w:tcPr>
          <w:p>
            <w:pPr>
              <w:spacing w:line="280" w:lineRule="exact"/>
              <w:jc w:val="left"/>
              <w:rPr>
                <w:rFonts w:hint="eastAsia"/>
                <w:sz w:val="24"/>
                <w:szCs w:val="24"/>
              </w:rPr>
            </w:pPr>
          </w:p>
          <w:p>
            <w:pPr>
              <w:spacing w:line="280" w:lineRule="exact"/>
              <w:ind w:firstLine="420" w:firstLineChars="200"/>
              <w:jc w:val="left"/>
              <w:rPr>
                <w:rFonts w:hint="eastAsia" w:ascii="宋体" w:hAnsi="宋体" w:eastAsia="宋体" w:cs="宋体"/>
                <w:sz w:val="20"/>
                <w:szCs w:val="20"/>
              </w:rPr>
            </w:pPr>
            <w:r>
              <w:rPr>
                <w:rFonts w:hint="eastAsia" w:ascii="宋体" w:hAnsi="宋体" w:eastAsia="宋体" w:cs="宋体"/>
                <w:sz w:val="20"/>
                <w:szCs w:val="20"/>
              </w:rPr>
              <w:t>《二手车流通管理办法》（商务部、公安部、工商总局、税务总局令2005年第2号）第三十五条 商务主管部门、工商行政管理部门应当在各自的职责范围内采取有效措施,加强对二手车交易市场经营者和经营主体的监督管理,依法查处违法违规行为,维护市场秩序</w:t>
            </w:r>
          </w:p>
          <w:p>
            <w:pPr>
              <w:spacing w:line="280" w:lineRule="exact"/>
              <w:ind w:firstLine="400" w:firstLineChars="200"/>
              <w:jc w:val="left"/>
              <w:rPr>
                <w:rFonts w:hint="eastAsia"/>
                <w:sz w:val="24"/>
                <w:szCs w:val="24"/>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39"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66"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66"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66"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center"/>
        <w:rPr>
          <w:rFonts w:hint="eastAsia" w:ascii="黑体" w:eastAsia="黑体"/>
          <w:sz w:val="32"/>
          <w:szCs w:val="32"/>
          <w:lang w:val="zh-CN" w:eastAsia="zh-CN"/>
        </w:rPr>
      </w:pPr>
      <w:r>
        <w:rPr>
          <w:rFonts w:hint="eastAsia" w:ascii="黑体" w:eastAsia="黑体"/>
          <w:sz w:val="32"/>
          <w:szCs w:val="32"/>
          <w:lang w:val="zh-CN"/>
        </w:rP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66" w:hRule="atLeast"/>
          <w:jc w:val="center"/>
        </w:trPr>
        <w:tc>
          <w:tcPr>
            <w:tcW w:w="718" w:type="dxa"/>
            <w:vMerge w:val="restart"/>
            <w:vAlign w:val="center"/>
          </w:tcPr>
          <w:p>
            <w:pPr>
              <w:spacing w:line="560" w:lineRule="exact"/>
              <w:rPr>
                <w:rFonts w:hint="eastAsia" w:ascii="仿宋_GB2312" w:hAnsi="黑体" w:eastAsia="仿宋_GB2312" w:cs="宋体"/>
                <w:sz w:val="22"/>
                <w:lang w:eastAsia="zh-CN"/>
              </w:rPr>
            </w:pPr>
            <w:r>
              <w:rPr>
                <w:rFonts w:hint="eastAsia" w:ascii="仿宋_GB2312" w:hAnsi="黑体" w:eastAsia="仿宋_GB2312" w:cs="宋体"/>
                <w:sz w:val="22"/>
                <w:lang w:val="en-US" w:eastAsia="zh-CN"/>
              </w:rPr>
              <w:t>47</w:t>
            </w:r>
          </w:p>
        </w:tc>
        <w:tc>
          <w:tcPr>
            <w:tcW w:w="1199" w:type="dxa"/>
            <w:vMerge w:val="restart"/>
            <w:vAlign w:val="center"/>
          </w:tcPr>
          <w:p>
            <w:pPr>
              <w:spacing w:line="280" w:lineRule="exact"/>
              <w:rPr>
                <w:rFonts w:hint="eastAsia" w:ascii="仿宋_GB2312" w:hAnsi="黑体" w:eastAsia="仿宋_GB2312" w:cs="宋体"/>
                <w:spacing w:val="-20"/>
                <w:sz w:val="22"/>
              </w:rPr>
            </w:pPr>
            <w:bookmarkStart w:id="0" w:name="_GoBack"/>
            <w:r>
              <w:rPr>
                <w:rFonts w:hint="eastAsia"/>
                <w:sz w:val="20"/>
                <w:szCs w:val="20"/>
              </w:rPr>
              <w:t>报废汽车回收拆解企业检查</w:t>
            </w:r>
            <w:bookmarkEnd w:id="0"/>
          </w:p>
        </w:tc>
        <w:tc>
          <w:tcPr>
            <w:tcW w:w="3135" w:type="dxa"/>
            <w:vMerge w:val="restart"/>
            <w:vAlign w:val="center"/>
          </w:tcPr>
          <w:p>
            <w:pPr>
              <w:spacing w:line="280" w:lineRule="exact"/>
              <w:jc w:val="left"/>
              <w:rPr>
                <w:rFonts w:hint="eastAsia"/>
                <w:sz w:val="20"/>
                <w:szCs w:val="20"/>
              </w:rPr>
            </w:pPr>
          </w:p>
          <w:p>
            <w:pPr>
              <w:spacing w:line="280" w:lineRule="exact"/>
              <w:ind w:firstLine="400" w:firstLineChars="200"/>
              <w:jc w:val="left"/>
              <w:rPr>
                <w:rFonts w:hint="eastAsia"/>
                <w:sz w:val="20"/>
                <w:szCs w:val="20"/>
              </w:rPr>
            </w:pPr>
            <w:r>
              <w:rPr>
                <w:rFonts w:hint="eastAsia"/>
                <w:sz w:val="20"/>
                <w:szCs w:val="20"/>
              </w:rPr>
              <w:t>《报废汽车回收管理办法》（国务院令第307号）第十六条：“县级以上地方人民政府经济贸易管理部门依据职责，对报废汽车回收企业实施经常性的监督检查，发现报废汽车回收企业不再具备规定条件的，应当立即告知原审批发证部门撤销《资格认定书》、《特种行业许可证》，注销营业执照。”</w:t>
            </w:r>
          </w:p>
          <w:p>
            <w:pPr>
              <w:spacing w:line="280" w:lineRule="exact"/>
              <w:ind w:firstLine="400" w:firstLineChars="200"/>
              <w:jc w:val="left"/>
              <w:rPr>
                <w:rFonts w:hint="eastAsia"/>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39"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66"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66"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66"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黑体" w:eastAsia="黑体"/>
          <w:sz w:val="32"/>
          <w:szCs w:val="32"/>
          <w:lang w:val="zh-CN" w:eastAsia="zh-CN"/>
        </w:rPr>
        <w:br w:type="page"/>
      </w:r>
    </w:p>
    <w:sectPr>
      <w:pgSz w:w="16838" w:h="11906" w:orient="landscape"/>
      <w:pgMar w:top="1080" w:right="1440" w:bottom="108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roman"/>
    <w:pitch w:val="default"/>
    <w:sig w:usb0="E0002AFF" w:usb1="C0007843"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Arial">
    <w:panose1 w:val="020B0604020202020204"/>
    <w:charset w:val="00"/>
    <w:family w:val="moder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CF1AA8"/>
    <w:rsid w:val="12AE00C7"/>
    <w:rsid w:val="138045A8"/>
    <w:rsid w:val="73CF1AA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2015-12-25T02:49:00Z</dcterms:created>
  <dc:creator>pc</dc:creator>
  <cp:lastModifiedBy>pc</cp:lastModifiedBy>
  <dcterms:modified xsi:type="dcterms:W3CDTF">2015-12-28T07:04:43Z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