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主体</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24</w:t>
            </w:r>
          </w:p>
        </w:tc>
        <w:tc>
          <w:tcPr>
            <w:tcW w:w="1199" w:type="dxa"/>
            <w:vMerge w:val="restart"/>
            <w:vAlign w:val="center"/>
          </w:tcPr>
          <w:p>
            <w:pPr>
              <w:autoSpaceDE w:val="0"/>
              <w:autoSpaceDN w:val="0"/>
              <w:spacing w:line="240" w:lineRule="exact"/>
              <w:rPr>
                <w:rFonts w:hint="eastAsia" w:ascii="仿宋_GB2312" w:hAnsi="黑体" w:eastAsia="仿宋_GB2312" w:cs="宋体"/>
                <w:spacing w:val="-20"/>
                <w:sz w:val="22"/>
                <w:lang w:val="en-US" w:eastAsia="zh-CN"/>
              </w:rPr>
            </w:pPr>
            <w:r>
              <w:rPr>
                <w:rFonts w:hint="eastAsia" w:ascii="宋体" w:hAnsi="宋体" w:eastAsia="宋体" w:cs="宋体"/>
                <w:spacing w:val="-20"/>
                <w:sz w:val="18"/>
                <w:szCs w:val="18"/>
                <w:lang w:val="en-US" w:eastAsia="zh-CN"/>
              </w:rPr>
              <w:t>经营者收购旧电子产品时未对收购产品进行登记；或未建立旧电子产品档案资料；或旧电子产品市场未建立旧电子经营者档案未如实记录市场内经营者身份信息和和信用信息。</w:t>
            </w:r>
          </w:p>
        </w:tc>
        <w:tc>
          <w:tcPr>
            <w:tcW w:w="3135" w:type="dxa"/>
            <w:vMerge w:val="restart"/>
            <w:vAlign w:val="center"/>
          </w:tcPr>
          <w:p>
            <w:pPr>
              <w:autoSpaceDE w:val="0"/>
              <w:autoSpaceDN w:val="0"/>
              <w:spacing w:line="240" w:lineRule="exact"/>
              <w:rPr>
                <w:rFonts w:hint="eastAsia" w:ascii="宋体" w:hAnsi="宋体" w:eastAsia="宋体" w:cs="宋体"/>
                <w:sz w:val="18"/>
                <w:szCs w:val="18"/>
                <w:lang w:val="en-US" w:eastAsia="zh-CN"/>
              </w:rPr>
            </w:pPr>
            <w:r>
              <w:rPr>
                <w:rFonts w:hint="eastAsia" w:ascii="宋体" w:hAnsi="宋体"/>
                <w:sz w:val="18"/>
                <w:szCs w:val="18"/>
              </w:rPr>
              <w:t xml:space="preserve">   </w:t>
            </w:r>
            <w:r>
              <w:rPr>
                <w:rFonts w:hint="eastAsia" w:ascii="宋体" w:hAnsi="宋体" w:eastAsia="宋体" w:cs="宋体"/>
                <w:sz w:val="18"/>
                <w:szCs w:val="18"/>
                <w:lang w:val="en-US" w:eastAsia="zh-CN"/>
              </w:rPr>
              <w:t>商务部《旧电器电子产品流通管理办法》第七条、第八条、第十五条、第十九条。</w:t>
            </w:r>
          </w:p>
          <w:p>
            <w:pPr>
              <w:autoSpaceDE w:val="0"/>
              <w:autoSpaceDN w:val="0"/>
              <w:spacing w:line="240" w:lineRule="exact"/>
              <w:rPr>
                <w:rFonts w:hint="eastAsia" w:ascii="仿宋_GB2312" w:hAnsi="黑体" w:eastAsia="仿宋_GB2312" w:cs="宋体"/>
                <w:spacing w:val="-20"/>
                <w:sz w:val="22"/>
              </w:rPr>
            </w:pPr>
            <w:r>
              <w:rPr>
                <w:rFonts w:hint="eastAsia" w:ascii="宋体" w:hAnsi="宋体" w:eastAsia="宋体" w:cs="宋体"/>
                <w:sz w:val="18"/>
                <w:szCs w:val="18"/>
                <w:lang w:val="en-US" w:eastAsia="zh-CN"/>
              </w:rPr>
              <w:t>行政处罚：由县级以上地方商务主管部门责令改正；逾期不改正的，可处2000元以上10000元以下罚款。</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商务局</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商务局</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商务局</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商务局</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商务局</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商务局</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商务局</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商务局</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25</w:t>
            </w:r>
          </w:p>
        </w:tc>
        <w:tc>
          <w:tcPr>
            <w:tcW w:w="1199" w:type="dxa"/>
            <w:vMerge w:val="restart"/>
            <w:vAlign w:val="center"/>
          </w:tcPr>
          <w:p>
            <w:pPr>
              <w:autoSpaceDE w:val="0"/>
              <w:autoSpaceDN w:val="0"/>
              <w:spacing w:line="240" w:lineRule="exact"/>
              <w:rPr>
                <w:rFonts w:hint="eastAsia" w:ascii="仿宋_GB2312" w:hAnsi="黑体" w:eastAsia="仿宋_GB2312" w:cs="宋体"/>
                <w:spacing w:val="-20"/>
                <w:sz w:val="22"/>
                <w:lang w:val="en-US" w:eastAsia="zh-CN"/>
              </w:rPr>
            </w:pPr>
            <w:r>
              <w:rPr>
                <w:rFonts w:hint="eastAsia" w:ascii="宋体" w:hAnsi="宋体" w:eastAsia="宋体" w:cs="宋体"/>
                <w:spacing w:val="-20"/>
                <w:sz w:val="15"/>
                <w:szCs w:val="15"/>
                <w:lang w:val="en-US" w:eastAsia="zh-CN"/>
              </w:rPr>
              <w:t>经营者将在流通过程中获得的机关、企（事）业单位及个人信息用于旧电器电子产品流通活动无关的领域；或旧电器电子产品涉及商业秘密、个人隐私的，出售人未在出售前妥善处置相关信息；或退出使用的涉密旧电器电子产品的流通活动不符合《保卫国家秘密法》和国家有关保密规定；或待售的旧电器电子产品未在显著位置标识为旧货；或经营者销售旧电器电子产品时，未向购买者明示产品质量性能状况、主要部件维修、</w:t>
            </w:r>
          </w:p>
        </w:tc>
        <w:tc>
          <w:tcPr>
            <w:tcW w:w="3135" w:type="dxa"/>
            <w:vMerge w:val="restart"/>
            <w:vAlign w:val="center"/>
          </w:tcPr>
          <w:p>
            <w:pPr>
              <w:autoSpaceDE w:val="0"/>
              <w:autoSpaceDN w:val="0"/>
              <w:spacing w:line="240" w:lineRule="exact"/>
              <w:rPr>
                <w:rFonts w:hint="eastAsia" w:ascii="宋体" w:hAnsi="宋体" w:eastAsia="宋体" w:cs="宋体"/>
                <w:sz w:val="18"/>
                <w:szCs w:val="18"/>
                <w:lang w:val="en-US" w:eastAsia="zh-CN"/>
              </w:rPr>
            </w:pPr>
            <w:r>
              <w:rPr>
                <w:rFonts w:hint="eastAsia" w:ascii="宋体" w:hAnsi="宋体"/>
                <w:sz w:val="18"/>
                <w:szCs w:val="18"/>
              </w:rPr>
              <w:t xml:space="preserve">  </w:t>
            </w:r>
            <w:r>
              <w:rPr>
                <w:rFonts w:hint="eastAsia" w:ascii="宋体" w:hAnsi="宋体" w:eastAsia="宋体" w:cs="宋体"/>
                <w:sz w:val="18"/>
                <w:szCs w:val="18"/>
                <w:lang w:val="en-US" w:eastAsia="zh-CN"/>
              </w:rPr>
              <w:t>商务部《旧电器电子产品流通管理办法》第九条、第十一条、第十二条、第十三条、第十八条、第二十条。</w:t>
            </w:r>
          </w:p>
          <w:p>
            <w:pPr>
              <w:autoSpaceDE w:val="0"/>
              <w:autoSpaceDN w:val="0"/>
              <w:spacing w:line="240" w:lineRule="exact"/>
              <w:rPr>
                <w:rFonts w:hint="eastAsia" w:ascii="宋体" w:hAnsi="宋体"/>
                <w:sz w:val="18"/>
                <w:szCs w:val="18"/>
                <w:lang w:val="en-US" w:eastAsia="zh-CN"/>
              </w:rPr>
            </w:pPr>
            <w:r>
              <w:rPr>
                <w:rFonts w:hint="eastAsia" w:ascii="宋体" w:hAnsi="宋体" w:eastAsia="宋体" w:cs="宋体"/>
                <w:sz w:val="18"/>
                <w:szCs w:val="18"/>
                <w:lang w:val="en-US" w:eastAsia="zh-CN"/>
              </w:rPr>
              <w:t>行政处罚：有法律、行政法规规定的有关部门依法处理；法律法规未作出的，由县级以上商务主管部门责令改正；逾期不改正的，可处两千以上一万元以下罚款；构成犯罪的，依法追究刑事责任。</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jc w:val="both"/>
        <w:rPr>
          <w:rFonts w:hint="eastAsia" w:ascii="黑体" w:eastAsia="黑体"/>
          <w:sz w:val="32"/>
          <w:szCs w:val="32"/>
          <w:lang w:val="zh-CN"/>
        </w:rPr>
      </w:pPr>
    </w:p>
    <w:tbl>
      <w:tblPr>
        <w:tblStyle w:val="3"/>
        <w:tblpPr w:leftFromText="180" w:rightFromText="180" w:vertAnchor="text" w:horzAnchor="page" w:tblpX="1236" w:tblpY="339"/>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25</w:t>
            </w:r>
          </w:p>
        </w:tc>
        <w:tc>
          <w:tcPr>
            <w:tcW w:w="1199" w:type="dxa"/>
            <w:vMerge w:val="restart"/>
            <w:vAlign w:val="center"/>
          </w:tcPr>
          <w:p>
            <w:pPr>
              <w:autoSpaceDE w:val="0"/>
              <w:autoSpaceDN w:val="0"/>
              <w:spacing w:line="240" w:lineRule="exact"/>
              <w:rPr>
                <w:rFonts w:hint="eastAsia" w:ascii="宋体" w:hAnsi="宋体" w:eastAsia="宋体" w:cs="宋体"/>
                <w:spacing w:val="-20"/>
                <w:sz w:val="15"/>
                <w:szCs w:val="15"/>
                <w:lang w:val="en-US" w:eastAsia="zh-CN"/>
              </w:rPr>
            </w:pPr>
            <w:r>
              <w:rPr>
                <w:rFonts w:hint="eastAsia" w:ascii="宋体" w:hAnsi="宋体" w:eastAsia="宋体" w:cs="宋体"/>
                <w:spacing w:val="-20"/>
                <w:sz w:val="15"/>
                <w:szCs w:val="15"/>
                <w:lang w:val="en-US" w:eastAsia="zh-CN"/>
              </w:rPr>
              <w:t>翻新等有关情况；或经营者以翻新产品冒充新产品出售；或经营者未向购买者出具销售凭证或发票，为提供不少于3个月的免费包修服务（交易双方另有约定的除外）；或旧电器电子产品仍在三包有效期内的，经营者未依法履行三包责任；或经营者未设立销售台账，对销售情况进行如实、准确记录；或经营者或旧电器电子产品市场不配合商务主管部门的监督检查，如实提供信息和材料。</w:t>
            </w:r>
          </w:p>
        </w:tc>
        <w:tc>
          <w:tcPr>
            <w:tcW w:w="3135" w:type="dxa"/>
            <w:vMerge w:val="restart"/>
            <w:vAlign w:val="center"/>
          </w:tcPr>
          <w:p>
            <w:pPr>
              <w:autoSpaceDE w:val="0"/>
              <w:autoSpaceDN w:val="0"/>
              <w:spacing w:line="240" w:lineRule="exact"/>
              <w:rPr>
                <w:rFonts w:hint="eastAsia" w:ascii="宋体" w:hAnsi="宋体" w:eastAsia="宋体" w:cs="宋体"/>
                <w:sz w:val="18"/>
                <w:szCs w:val="18"/>
                <w:lang w:val="en-US" w:eastAsia="zh-CN"/>
              </w:rPr>
            </w:pPr>
            <w:r>
              <w:rPr>
                <w:rFonts w:hint="eastAsia" w:ascii="宋体" w:hAnsi="宋体"/>
                <w:sz w:val="18"/>
                <w:szCs w:val="18"/>
              </w:rPr>
              <w:t xml:space="preserve">   </w:t>
            </w:r>
            <w:r>
              <w:rPr>
                <w:rFonts w:hint="eastAsia" w:ascii="宋体" w:hAnsi="宋体" w:eastAsia="宋体" w:cs="宋体"/>
                <w:sz w:val="18"/>
                <w:szCs w:val="18"/>
                <w:lang w:val="en-US" w:eastAsia="zh-CN"/>
              </w:rPr>
              <w:t>商务部《旧电器电子产品流通管理办法》第九条、第十一条、第十二条、第十三条、第十八条、第二十条。</w:t>
            </w:r>
          </w:p>
          <w:p>
            <w:pPr>
              <w:autoSpaceDE w:val="0"/>
              <w:autoSpaceDN w:val="0"/>
              <w:spacing w:line="240" w:lineRule="exact"/>
              <w:rPr>
                <w:rFonts w:hint="eastAsia" w:ascii="仿宋_GB2312" w:hAnsi="黑体" w:eastAsia="仿宋_GB2312" w:cs="宋体"/>
                <w:spacing w:val="-20"/>
                <w:sz w:val="22"/>
              </w:rPr>
            </w:pPr>
            <w:r>
              <w:rPr>
                <w:rFonts w:hint="eastAsia" w:ascii="宋体" w:hAnsi="宋体" w:eastAsia="宋体" w:cs="宋体"/>
                <w:sz w:val="18"/>
                <w:szCs w:val="18"/>
                <w:lang w:val="en-US" w:eastAsia="zh-CN"/>
              </w:rPr>
              <w:t>行政处罚：有法律、行政法规规定的有关部门依法处理；法律法规未作出的，由县级以上商务主管部门责令改正；逾期不改正的，可处两千以上一万元以下罚款；构成犯罪的，依法追究刑事责任。</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职权类别：行政处罚</w:t>
      </w:r>
    </w:p>
    <w:p>
      <w:pPr>
        <w:spacing w:line="560" w:lineRule="exact"/>
        <w:jc w:val="center"/>
        <w:rPr>
          <w:rFonts w:hint="eastAsia" w:ascii="黑体" w:eastAsia="黑体"/>
          <w:sz w:val="32"/>
          <w:szCs w:val="32"/>
          <w:lang w:val="zh-CN"/>
        </w:rPr>
      </w:pPr>
      <w:r>
        <w:rPr>
          <w:rFonts w:hint="eastAsia" w:ascii="黑体" w:eastAsia="黑体"/>
          <w:sz w:val="32"/>
          <w:szCs w:val="32"/>
          <w:lang w:val="en-US" w:eastAsia="zh-CN"/>
        </w:rPr>
        <w:t>郸城县</w:t>
      </w:r>
      <w:r>
        <w:rPr>
          <w:rFonts w:hint="eastAsia" w:ascii="黑体" w:eastAsia="黑体"/>
          <w:sz w:val="32"/>
          <w:szCs w:val="32"/>
          <w:lang w:val="zh-CN"/>
        </w:rPr>
        <w:t>商务局责任清单</w:t>
      </w:r>
    </w:p>
    <w:tbl>
      <w:tblPr>
        <w:tblStyle w:val="3"/>
        <w:tblpPr w:leftFromText="180" w:rightFromText="180" w:vertAnchor="text" w:horzAnchor="page" w:tblpX="1228" w:tblpY="686"/>
        <w:tblOverlap w:val="never"/>
        <w:tblW w:w="1417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4239"/>
        <w:gridCol w:w="1155"/>
        <w:gridCol w:w="780"/>
        <w:gridCol w:w="765"/>
        <w:gridCol w:w="11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423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5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78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76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10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restart"/>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26</w:t>
            </w:r>
          </w:p>
        </w:tc>
        <w:tc>
          <w:tcPr>
            <w:tcW w:w="1199" w:type="dxa"/>
            <w:vMerge w:val="restart"/>
            <w:vAlign w:val="center"/>
          </w:tcPr>
          <w:p>
            <w:pPr>
              <w:autoSpaceDE w:val="0"/>
              <w:autoSpaceDN w:val="0"/>
              <w:spacing w:line="240" w:lineRule="exact"/>
              <w:rPr>
                <w:rFonts w:hint="eastAsia" w:ascii="宋体" w:hAnsi="宋体" w:eastAsia="宋体" w:cs="宋体"/>
                <w:spacing w:val="-20"/>
                <w:sz w:val="15"/>
                <w:szCs w:val="15"/>
                <w:lang w:val="en-US" w:eastAsia="zh-CN"/>
              </w:rPr>
            </w:pPr>
            <w:r>
              <w:rPr>
                <w:rFonts w:hint="eastAsia" w:ascii="宋体" w:hAnsi="宋体" w:eastAsia="宋体" w:cs="宋体"/>
                <w:spacing w:val="-20"/>
                <w:sz w:val="15"/>
                <w:szCs w:val="15"/>
                <w:lang w:val="en-US" w:eastAsia="zh-CN"/>
              </w:rPr>
              <w:t>经营者收购下列旧电器电子产品：（1）依法查封、扣押的；（2）明知是通过盗窃、抢劫、诈骗、走私或其他违法犯罪手段获得的；（3）不能说明合法来源的；（4）其他法律、行政法规禁止收购的。或经营者销售下列旧电器电子产品：（1）丧失全部使用功能或达到国家强制报废条件的；（2）不符合保障人体健康和人身、财产安全等强制性标准要求的；（3）其他法律、行政法规禁止销售的。</w:t>
            </w:r>
          </w:p>
        </w:tc>
        <w:tc>
          <w:tcPr>
            <w:tcW w:w="3135" w:type="dxa"/>
            <w:vMerge w:val="restart"/>
            <w:vAlign w:val="center"/>
          </w:tcPr>
          <w:p>
            <w:pPr>
              <w:autoSpaceDE w:val="0"/>
              <w:autoSpaceDN w:val="0"/>
              <w:spacing w:line="240" w:lineRule="exact"/>
              <w:rPr>
                <w:rFonts w:hint="eastAsia" w:ascii="宋体" w:hAnsi="宋体" w:eastAsia="宋体" w:cs="宋体"/>
                <w:sz w:val="18"/>
                <w:szCs w:val="18"/>
                <w:lang w:val="en-US" w:eastAsia="zh-CN"/>
              </w:rPr>
            </w:pPr>
            <w:r>
              <w:rPr>
                <w:rFonts w:hint="eastAsia" w:ascii="宋体" w:hAnsi="宋体"/>
                <w:sz w:val="18"/>
                <w:szCs w:val="18"/>
              </w:rPr>
              <w:t xml:space="preserve"> </w:t>
            </w:r>
            <w:r>
              <w:rPr>
                <w:rFonts w:hint="eastAsia" w:ascii="宋体" w:hAnsi="宋体" w:eastAsia="宋体" w:cs="宋体"/>
                <w:sz w:val="18"/>
                <w:szCs w:val="18"/>
                <w:lang w:val="en-US" w:eastAsia="zh-CN"/>
              </w:rPr>
              <w:t>商务部《</w:t>
            </w:r>
            <w:bookmarkStart w:id="0" w:name="_GoBack"/>
            <w:bookmarkEnd w:id="0"/>
            <w:r>
              <w:rPr>
                <w:rFonts w:hint="eastAsia" w:ascii="宋体" w:hAnsi="宋体" w:eastAsia="宋体" w:cs="宋体"/>
                <w:sz w:val="18"/>
                <w:szCs w:val="18"/>
                <w:lang w:val="en-US" w:eastAsia="zh-CN"/>
              </w:rPr>
              <w:t>旧电器电子产品流通管理办法》第十条、第十四条、第二十一条</w:t>
            </w:r>
          </w:p>
          <w:p>
            <w:pPr>
              <w:autoSpaceDE w:val="0"/>
              <w:autoSpaceDN w:val="0"/>
              <w:spacing w:line="240" w:lineRule="exact"/>
              <w:rPr>
                <w:rFonts w:hint="eastAsia" w:ascii="仿宋_GB2312" w:hAnsi="黑体" w:eastAsia="仿宋_GB2312" w:cs="宋体"/>
                <w:spacing w:val="-20"/>
                <w:sz w:val="22"/>
              </w:rPr>
            </w:pPr>
            <w:r>
              <w:rPr>
                <w:rFonts w:hint="eastAsia" w:ascii="宋体" w:hAnsi="宋体" w:eastAsia="宋体" w:cs="宋体"/>
                <w:sz w:val="18"/>
                <w:szCs w:val="18"/>
                <w:lang w:val="en-US" w:eastAsia="zh-CN"/>
              </w:rPr>
              <w:t>法行政处罚：有法律、行政法规规定的有关部门依法处理；法律法规未作出的，由县级以上商务主管部门责令改正；逾期不改正的，可处一万以上三万元以下罚款；构成犯罪的，依法追究刑事责任。</w:t>
            </w: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立案</w:t>
            </w:r>
          </w:p>
        </w:tc>
        <w:tc>
          <w:tcPr>
            <w:tcW w:w="4239" w:type="dxa"/>
            <w:vAlign w:val="center"/>
          </w:tcPr>
          <w:p>
            <w:pPr>
              <w:widowControl/>
              <w:spacing w:line="180" w:lineRule="exact"/>
              <w:jc w:val="left"/>
              <w:rPr>
                <w:rFonts w:hint="eastAsia" w:ascii="仿宋_GB2312" w:hAnsi="黑体" w:eastAsia="仿宋_GB2312" w:cs="宋体"/>
                <w:sz w:val="15"/>
                <w:szCs w:val="15"/>
              </w:rPr>
            </w:pPr>
            <w:r>
              <w:rPr>
                <w:rFonts w:hint="eastAsia" w:ascii="宋体" w:hAnsi="宋体"/>
                <w:kern w:val="0"/>
                <w:sz w:val="15"/>
                <w:szCs w:val="15"/>
              </w:rPr>
              <w:t>1.立案责任：检查中发现或者接到举报违法行为或有关部门移送的此类违法案件，予以审查，决定是否立案。</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eastAsia="zh-CN"/>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restart"/>
            <w:vAlign w:val="center"/>
          </w:tcPr>
          <w:p>
            <w:pPr>
              <w:spacing w:line="560" w:lineRule="exact"/>
              <w:jc w:val="center"/>
              <w:rPr>
                <w:rFonts w:hint="eastAsia" w:ascii="仿宋_GB2312" w:hAnsi="黑体" w:eastAsia="仿宋_GB2312" w:cs="宋体"/>
                <w:sz w:val="22"/>
              </w:rPr>
            </w:pPr>
          </w:p>
        </w:tc>
        <w:tc>
          <w:tcPr>
            <w:tcW w:w="1109"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调查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2.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审查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3.审查责任：对案件违法事实、证据、调查取证程序、法律适用、处罚种类和幅度、当事人陈述和申辩理由等方面进行审查，提出处理意见。</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告知</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4.告知责任：在做出行政处罚决定前，书面告知当事人拟作出处罚决定的事实、理由、依据、处罚内容，以及当事人享有的陈述权、申辩权或听证权。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3</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决定</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5.决定责任：依法需要给予行政处罚的，应制作《商务行政处罚决定书》，载明违法事实和证据、处罚依据和内容、申请行政复议或提起行政诉讼的途径和期限等内容。</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送达</w:t>
            </w:r>
          </w:p>
        </w:tc>
        <w:tc>
          <w:tcPr>
            <w:tcW w:w="4239" w:type="dxa"/>
            <w:vAlign w:val="center"/>
          </w:tcPr>
          <w:p>
            <w:pPr>
              <w:widowControl/>
              <w:spacing w:line="180" w:lineRule="exact"/>
              <w:jc w:val="left"/>
              <w:rPr>
                <w:rFonts w:hint="eastAsia" w:ascii="仿宋_GB2312" w:hAnsi="仿宋_GB2312" w:eastAsia="仿宋_GB2312"/>
                <w:spacing w:val="-20"/>
                <w:sz w:val="15"/>
                <w:szCs w:val="15"/>
              </w:rPr>
            </w:pPr>
            <w:r>
              <w:rPr>
                <w:rFonts w:hint="eastAsia" w:ascii="宋体" w:hAnsi="宋体"/>
                <w:kern w:val="0"/>
                <w:sz w:val="15"/>
                <w:szCs w:val="15"/>
              </w:rPr>
              <w:t>6.送达责任：行政处罚决定书在7日内送达当事人。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7</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widowControl/>
              <w:jc w:val="center"/>
              <w:textAlignment w:val="center"/>
              <w:rPr>
                <w:rFonts w:hint="eastAsia" w:ascii="仿宋_GB2312" w:hAnsi="黑体" w:eastAsia="仿宋_GB2312" w:cs="宋体"/>
                <w:spacing w:val="-20"/>
                <w:sz w:val="22"/>
              </w:rPr>
            </w:pPr>
            <w:r>
              <w:rPr>
                <w:rFonts w:hint="eastAsia" w:ascii="宋体" w:hAnsi="宋体" w:cs="宋体"/>
                <w:color w:val="000000"/>
                <w:kern w:val="0"/>
                <w:sz w:val="22"/>
                <w:szCs w:val="22"/>
              </w:rPr>
              <w:t>执行</w:t>
            </w:r>
          </w:p>
        </w:tc>
        <w:tc>
          <w:tcPr>
            <w:tcW w:w="4239" w:type="dxa"/>
            <w:vAlign w:val="center"/>
          </w:tcPr>
          <w:p>
            <w:pPr>
              <w:widowControl/>
              <w:spacing w:line="180" w:lineRule="exact"/>
              <w:jc w:val="left"/>
              <w:rPr>
                <w:rFonts w:hint="eastAsia" w:ascii="仿宋_GB2312" w:hAnsi="仿宋_GB2312" w:eastAsia="仿宋_GB2312"/>
                <w:sz w:val="15"/>
                <w:szCs w:val="15"/>
              </w:rPr>
            </w:pPr>
            <w:r>
              <w:rPr>
                <w:rFonts w:hint="eastAsia" w:ascii="宋体" w:hAnsi="宋体"/>
                <w:kern w:val="0"/>
                <w:sz w:val="15"/>
                <w:szCs w:val="15"/>
              </w:rPr>
              <w:t>7.执行责任：监督当事人在决定的期限内，履行生效的行政处罚决定。当事人在法定期限内</w:t>
            </w:r>
            <w:r>
              <w:rPr>
                <w:rFonts w:hint="eastAsia" w:ascii="宋体" w:hAnsi="宋体"/>
                <w:kern w:val="0"/>
                <w:sz w:val="15"/>
                <w:szCs w:val="15"/>
                <w:lang w:val="en-US" w:eastAsia="zh-CN"/>
              </w:rPr>
              <w:t>不</w:t>
            </w:r>
            <w:r>
              <w:rPr>
                <w:rFonts w:hint="eastAsia" w:ascii="宋体" w:hAnsi="宋体"/>
                <w:kern w:val="0"/>
                <w:sz w:val="15"/>
                <w:szCs w:val="15"/>
              </w:rPr>
              <w:t>申请行政复议或</w:t>
            </w:r>
            <w:r>
              <w:rPr>
                <w:rFonts w:hint="eastAsia" w:ascii="宋体" w:hAnsi="宋体"/>
                <w:kern w:val="0"/>
                <w:sz w:val="15"/>
                <w:szCs w:val="15"/>
                <w:lang w:val="en-US" w:eastAsia="zh-CN"/>
              </w:rPr>
              <w:t>不</w:t>
            </w:r>
            <w:r>
              <w:rPr>
                <w:rFonts w:hint="eastAsia" w:ascii="宋体" w:hAnsi="宋体"/>
                <w:kern w:val="0"/>
                <w:sz w:val="15"/>
                <w:szCs w:val="15"/>
              </w:rPr>
              <w:t>提起行政诉讼，又不履行的，可依法采取强制执行或者申请人民法院强制执行。</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15</w:t>
            </w: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60" w:hRule="atLeast"/>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4239" w:type="dxa"/>
            <w:vAlign w:val="center"/>
          </w:tcPr>
          <w:p>
            <w:pPr>
              <w:autoSpaceDE w:val="0"/>
              <w:autoSpaceDN w:val="0"/>
              <w:spacing w:line="180" w:lineRule="exact"/>
              <w:rPr>
                <w:rFonts w:hint="eastAsia" w:ascii="仿宋_GB2312" w:hAnsi="仿宋_GB2312" w:eastAsia="仿宋_GB2312"/>
                <w:sz w:val="15"/>
                <w:szCs w:val="15"/>
              </w:rPr>
            </w:pPr>
            <w:r>
              <w:rPr>
                <w:rFonts w:hint="eastAsia" w:ascii="宋体" w:hAnsi="宋体"/>
                <w:kern w:val="0"/>
                <w:sz w:val="15"/>
                <w:szCs w:val="15"/>
              </w:rPr>
              <w:t>8.其他法律法规规章文件规定应履行的责任。</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仿宋_GB2312" w:hAnsi="黑体" w:eastAsia="仿宋_GB2312" w:cs="宋体"/>
                <w:sz w:val="20"/>
                <w:szCs w:val="20"/>
                <w:lang w:val="en-US"/>
              </w:rPr>
            </w:pPr>
            <w:r>
              <w:rPr>
                <w:rFonts w:hint="eastAsia" w:ascii="仿宋_GB2312" w:hAnsi="黑体" w:eastAsia="仿宋_GB2312" w:cs="宋体"/>
                <w:sz w:val="18"/>
                <w:szCs w:val="18"/>
                <w:lang w:val="en-US" w:eastAsia="zh-CN"/>
              </w:rPr>
              <w:t>市场秩序股商务稽查大队</w:t>
            </w:r>
          </w:p>
        </w:tc>
        <w:tc>
          <w:tcPr>
            <w:tcW w:w="780" w:type="dxa"/>
            <w:vAlign w:val="center"/>
          </w:tcPr>
          <w:p>
            <w:pPr>
              <w:spacing w:line="560" w:lineRule="exact"/>
              <w:jc w:val="center"/>
              <w:rPr>
                <w:rFonts w:hint="eastAsia" w:ascii="仿宋_GB2312" w:hAnsi="黑体" w:eastAsia="仿宋_GB2312" w:cs="宋体"/>
                <w:sz w:val="22"/>
              </w:rPr>
            </w:pPr>
          </w:p>
        </w:tc>
        <w:tc>
          <w:tcPr>
            <w:tcW w:w="765" w:type="dxa"/>
            <w:vMerge w:val="continue"/>
            <w:vAlign w:val="center"/>
          </w:tcPr>
          <w:p>
            <w:pPr>
              <w:spacing w:line="560" w:lineRule="exact"/>
              <w:jc w:val="center"/>
              <w:rPr>
                <w:rFonts w:hint="eastAsia" w:ascii="仿宋_GB2312" w:hAnsi="黑体" w:eastAsia="仿宋_GB2312" w:cs="宋体"/>
                <w:sz w:val="22"/>
              </w:rPr>
            </w:pPr>
          </w:p>
        </w:tc>
        <w:tc>
          <w:tcPr>
            <w:tcW w:w="1109"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2" w:hRule="atLeast"/>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spacing w:line="560" w:lineRule="exact"/>
        <w:jc w:val="both"/>
        <w:rPr>
          <w:rFonts w:hint="eastAsia" w:ascii="黑体" w:eastAsia="黑体"/>
          <w:sz w:val="32"/>
          <w:szCs w:val="32"/>
          <w:lang w:val="zh-CN"/>
        </w:rPr>
      </w:pPr>
      <w:r>
        <w:rPr>
          <w:rFonts w:hint="eastAsia" w:ascii="仿宋_GB2312" w:hAnsi="黑体" w:eastAsia="仿宋_GB2312" w:cs="宋体"/>
          <w:sz w:val="22"/>
          <w:lang w:val="en-US" w:eastAsia="zh-CN"/>
        </w:rPr>
        <w:t xml:space="preserve">     </w:t>
      </w:r>
      <w:r>
        <w:rPr>
          <w:rFonts w:hint="eastAsia" w:ascii="仿宋_GB2312" w:hAnsi="黑体" w:eastAsia="仿宋_GB2312" w:cs="宋体"/>
          <w:sz w:val="22"/>
        </w:rPr>
        <w:t>职权类别：行政处</w:t>
      </w:r>
      <w:r>
        <w:rPr>
          <w:rFonts w:hint="eastAsia" w:ascii="仿宋_GB2312" w:hAnsi="黑体" w:eastAsia="仿宋_GB2312" w:cs="宋体"/>
          <w:sz w:val="22"/>
          <w:lang w:val="en-US" w:eastAsia="zh-CN"/>
        </w:rPr>
        <w:t>罚</w:t>
      </w:r>
    </w:p>
    <w:p>
      <w:pPr/>
    </w:p>
    <w:p>
      <w:pPr/>
    </w:p>
    <w:p>
      <w:pPr/>
    </w:p>
    <w:p>
      <w:pPr/>
    </w:p>
    <w:p>
      <w:pPr/>
    </w:p>
    <w:p>
      <w:pPr/>
    </w:p>
    <w:sectPr>
      <w:pgSz w:w="16783" w:h="11850"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roman"/>
    <w:pitch w:val="default"/>
    <w:sig w:usb0="E0002AFF" w:usb1="C0007843" w:usb2="00000009" w:usb3="00000000" w:csb0="400001FF" w:csb1="FFFF0000"/>
  </w:font>
  <w:font w:name="仿宋_GB2312">
    <w:altName w:val="仿宋"/>
    <w:panose1 w:val="02010609030101010101"/>
    <w:charset w:val="86"/>
    <w:family w:val="roman"/>
    <w:pitch w:val="default"/>
    <w:sig w:usb0="00000000" w:usb1="00000000" w:usb2="00000000" w:usb3="00000000" w:csb0="00040000" w:csb1="00000000"/>
  </w:font>
  <w:font w:name="方正小标宋简体">
    <w:altName w:val="微软雅黑"/>
    <w:panose1 w:val="02010601030101010101"/>
    <w:charset w:val="86"/>
    <w:family w:val="script"/>
    <w:pitch w:val="default"/>
    <w:sig w:usb0="00000000" w:usb1="00000000" w:usb2="00000000" w:usb3="00000000" w:csb0="00040000" w:csb1="00000000"/>
  </w:font>
  <w:font w:name="创艺简标宋">
    <w:altName w:val="黑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modern"/>
    <w:pitch w:val="default"/>
    <w:sig w:usb0="E0002AFF" w:usb1="C0007843" w:usb2="00000009" w:usb3="00000000" w:csb0="400001FF" w:csb1="FFFF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A0000287" w:usb1="28CF3C52" w:usb2="00000016" w:usb3="00000000" w:csb0="0004001F" w:csb1="00000000"/>
  </w:font>
  <w:font w:name="微软雅黑">
    <w:panose1 w:val="020B0503020204020204"/>
    <w:charset w:val="86"/>
    <w:family w:val="script"/>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2010609030101010101"/>
    <w:charset w:val="86"/>
    <w:family w:val="swiss"/>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00"/>
    <w:family w:val="decorative"/>
    <w:pitch w:val="default"/>
    <w:sig w:usb0="E0002AFF" w:usb1="C0007843" w:usb2="00000009" w:usb3="00000000" w:csb0="400001FF" w:csb1="FFFF0000"/>
  </w:font>
  <w:font w:name="仿宋_GB2312">
    <w:altName w:val="仿宋"/>
    <w:panose1 w:val="02010609030101010101"/>
    <w:charset w:val="86"/>
    <w:family w:val="decorative"/>
    <w:pitch w:val="default"/>
    <w:sig w:usb0="00000000" w:usb1="00000000" w:usb2="00000000" w:usb3="00000000" w:csb0="00040000" w:csb1="00000000"/>
  </w:font>
  <w:font w:name="楷体_GB2312">
    <w:altName w:val="楷体"/>
    <w:panose1 w:val="02010609030101010101"/>
    <w:charset w:val="86"/>
    <w:family w:val="decorative"/>
    <w:pitch w:val="default"/>
    <w:sig w:usb0="00000000" w:usb1="00000000" w:usb2="00000000" w:usb3="00000000" w:csb0="00040000" w:csb1="00000000"/>
  </w:font>
  <w:font w:name="Arial">
    <w:panose1 w:val="020B0604020202020204"/>
    <w:charset w:val="00"/>
    <w:family w:val="roman"/>
    <w:pitch w:val="default"/>
    <w:sig w:usb0="E0002AFF" w:usb1="C0007843" w:usb2="00000009" w:usb3="00000000" w:csb0="400001FF" w:csb1="FFFF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Courier New">
    <w:panose1 w:val="02070309020205020404"/>
    <w:charset w:val="00"/>
    <w:family w:val="swiss"/>
    <w:pitch w:val="default"/>
    <w:sig w:usb0="E0002AFF" w:usb1="C0007843" w:usb2="00000009" w:usb3="00000000" w:csb0="400001FF" w:csb1="FFFF0000"/>
  </w:font>
  <w:font w:name="楷体_GB2312">
    <w:altName w:val="楷体"/>
    <w:panose1 w:val="02010609030101010101"/>
    <w:charset w:val="86"/>
    <w:family w:val="swiss"/>
    <w:pitch w:val="default"/>
    <w:sig w:usb0="00000000" w:usb1="00000000" w:usb2="00000000" w:usb3="00000000" w:csb0="00040000" w:csb1="00000000"/>
  </w:font>
  <w:font w:name="Arial">
    <w:panose1 w:val="020B0604020202020204"/>
    <w:charset w:val="00"/>
    <w:family w:val="decorative"/>
    <w:pitch w:val="default"/>
    <w:sig w:usb0="E0002AFF" w:usb1="C0007843" w:usb2="00000009" w:usb3="00000000" w:csb0="400001FF" w:csb1="FFFF0000"/>
  </w:font>
  <w:font w:name="楷体">
    <w:panose1 w:val="02010609060101010101"/>
    <w:charset w:val="86"/>
    <w:family w:val="swiss"/>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黑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703040"/>
    <w:rsid w:val="03E37CED"/>
    <w:rsid w:val="07703040"/>
    <w:rsid w:val="0BF05825"/>
    <w:rsid w:val="18A35E49"/>
    <w:rsid w:val="1940737B"/>
    <w:rsid w:val="1C3928DC"/>
    <w:rsid w:val="1E7E6BAF"/>
    <w:rsid w:val="27D55CE6"/>
    <w:rsid w:val="2B683643"/>
    <w:rsid w:val="378673A6"/>
    <w:rsid w:val="38735629"/>
    <w:rsid w:val="3F98797D"/>
    <w:rsid w:val="3FE710E5"/>
    <w:rsid w:val="45CF2824"/>
    <w:rsid w:val="4DB9742C"/>
    <w:rsid w:val="4F5167AE"/>
    <w:rsid w:val="593E34F6"/>
    <w:rsid w:val="5A387589"/>
    <w:rsid w:val="5CC5460E"/>
    <w:rsid w:val="64B745D7"/>
    <w:rsid w:val="65453DB0"/>
    <w:rsid w:val="67AC0238"/>
    <w:rsid w:val="6838369F"/>
    <w:rsid w:val="792479E5"/>
    <w:rsid w:val="7B3307A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2015-12-21T01:52:00Z</dcterms:created>
  <dc:creator>pc</dc:creator>
  <cp:lastModifiedBy>pc</cp:lastModifiedBy>
  <dcterms:modified xsi:type="dcterms:W3CDTF">2015-12-28T02:08:56Z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