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15</w:t>
            </w:r>
          </w:p>
        </w:tc>
        <w:tc>
          <w:tcPr>
            <w:tcW w:w="1199" w:type="dxa"/>
            <w:vMerge w:val="restart"/>
            <w:vAlign w:val="center"/>
          </w:tcPr>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1）新建预拌混凝土、预拌砂浆生产项目未备案的。（2）水泥使用量在500吨以上的建设工程未按规定使用散装水泥（散装水泥专用车辆无法到达施工现场的除外）（3）运送散装水泥、预拌混凝土、预拌砂浆的专用车辆未按规定到当地散装水泥管理机构备案的袋装水泥生产企业（包括水泥熟料粉磨站，下同）、使用单位不按规定缴纳散装水泥专项资金的。</w:t>
            </w: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仿宋_GB2312" w:hAnsi="黑体" w:eastAsia="仿宋_GB2312" w:cs="宋体"/>
                <w:spacing w:val="-20"/>
                <w:sz w:val="21"/>
                <w:szCs w:val="21"/>
                <w:lang w:eastAsia="zh-CN"/>
              </w:rPr>
              <w:t>《</w:t>
            </w:r>
            <w:r>
              <w:rPr>
                <w:rFonts w:hint="eastAsia" w:ascii="宋体" w:hAnsi="宋体" w:eastAsia="宋体" w:cs="宋体"/>
                <w:spacing w:val="-20"/>
                <w:sz w:val="18"/>
                <w:szCs w:val="18"/>
                <w:lang w:val="en-US" w:eastAsia="zh-CN"/>
              </w:rPr>
              <w:t>河南省发展散装水泥管理规定》第八条第二款、第九条第一款、第十五条第二款。</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1）财政部、国家经贸委《散装水泥专项资金征收和使用管理办法》第十八条。</w:t>
            </w:r>
          </w:p>
          <w:p>
            <w:pPr>
              <w:numPr>
                <w:ilvl w:val="0"/>
                <w:numId w:val="1"/>
              </w:numPr>
              <w:autoSpaceDE w:val="0"/>
              <w:autoSpaceDN w:val="0"/>
              <w:spacing w:line="24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商务部、财政部、建设部、铁道部、交通部、质检总局、国家环境保护总局《散装水泥管理办法》第十八条。</w:t>
            </w:r>
          </w:p>
          <w:p>
            <w:pPr>
              <w:numPr>
                <w:ilvl w:val="0"/>
                <w:numId w:val="1"/>
              </w:numPr>
              <w:autoSpaceDE w:val="0"/>
              <w:autoSpaceDN w:val="0"/>
              <w:spacing w:line="240" w:lineRule="exact"/>
              <w:rPr>
                <w:rFonts w:hint="eastAsia" w:ascii="宋体" w:hAnsi="宋体" w:eastAsia="宋体" w:cs="宋体"/>
                <w:spacing w:val="-20"/>
                <w:sz w:val="18"/>
                <w:szCs w:val="18"/>
              </w:rPr>
            </w:pPr>
            <w:r>
              <w:rPr>
                <w:rFonts w:hint="eastAsia" w:ascii="宋体" w:hAnsi="宋体" w:eastAsia="宋体" w:cs="宋体"/>
                <w:spacing w:val="-20"/>
                <w:sz w:val="18"/>
                <w:szCs w:val="18"/>
                <w:lang w:val="en-US" w:eastAsia="zh-CN"/>
              </w:rPr>
              <w:t>《河南省发展散装水泥管理规定》第二十一条第一款。</w:t>
            </w:r>
          </w:p>
          <w:p>
            <w:pPr>
              <w:autoSpaceDE w:val="0"/>
              <w:autoSpaceDN w:val="0"/>
              <w:spacing w:line="240" w:lineRule="exact"/>
              <w:rPr>
                <w:rFonts w:hint="eastAsia" w:ascii="仿宋_GB2312" w:hAnsi="黑体" w:eastAsia="仿宋_GB2312" w:cs="宋体"/>
                <w:spacing w:val="-20"/>
                <w:sz w:val="22"/>
                <w:lang w:eastAsia="zh-CN"/>
              </w:rPr>
            </w:pPr>
            <w:r>
              <w:rPr>
                <w:rFonts w:hint="eastAsia" w:ascii="宋体" w:hAnsi="宋体" w:eastAsia="宋体" w:cs="宋体"/>
                <w:spacing w:val="-20"/>
                <w:sz w:val="18"/>
                <w:szCs w:val="18"/>
                <w:lang w:val="en-US" w:eastAsia="zh-CN"/>
              </w:rPr>
              <w:t xml:space="preserve"> 行政处罚： 责令限期缴纳，并自滞纳之日起，按日加收应缴未缴散装水泥专项资金千万分之零点五的滞纳金；逾期未缴纳的处以欠缴散装水泥专项资金一倍的罚款，但罚款总额不超过30000元.。</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16</w:t>
            </w:r>
          </w:p>
        </w:tc>
        <w:tc>
          <w:tcPr>
            <w:tcW w:w="1199"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从事再生资源回收经营活动在取得营业执照后30日内，未向商务主管部门或者其授权机构备案的；备案事项发生变更时未在30日内商务主管部门办理变更手续的。</w:t>
            </w:r>
          </w:p>
        </w:tc>
        <w:tc>
          <w:tcPr>
            <w:tcW w:w="3135" w:type="dxa"/>
            <w:vMerge w:val="restart"/>
            <w:vAlign w:val="center"/>
          </w:tcPr>
          <w:p>
            <w:pPr>
              <w:numPr>
                <w:ilvl w:val="0"/>
                <w:numId w:val="0"/>
              </w:numPr>
              <w:autoSpaceDE w:val="0"/>
              <w:autoSpaceDN w:val="0"/>
              <w:spacing w:line="240" w:lineRule="exact"/>
              <w:rPr>
                <w:rFonts w:hint="eastAsia" w:ascii="宋体" w:hAnsi="宋体" w:eastAsia="宋体" w:cs="宋体"/>
                <w:spacing w:val="-20"/>
                <w:sz w:val="18"/>
                <w:szCs w:val="18"/>
              </w:rPr>
            </w:pP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商务部、发展改革委、公安部、建设部、工商总局、国家环境保护总局《再生资源回收管理办法》第二十一条。行政处罚：警告，责令限期改正；逾期拒不改正的，可视情节轻重，处500元以上2000元以下罚款，并可向社会公告。</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bookmarkStart w:id="0" w:name="_GoBack" w:colFirst="1" w:colLast="2"/>
            <w:r>
              <w:rPr>
                <w:rFonts w:hint="eastAsia" w:ascii="仿宋_GB2312" w:hAnsi="黑体" w:eastAsia="仿宋_GB2312" w:cs="宋体"/>
                <w:sz w:val="22"/>
                <w:lang w:val="en-US" w:eastAsia="zh-CN"/>
              </w:rPr>
              <w:t>17</w:t>
            </w:r>
          </w:p>
        </w:tc>
        <w:tc>
          <w:tcPr>
            <w:tcW w:w="1199"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预拌混泥土，预拌砂浆生产企业没有全部使用散装水泥，水泥制品生产企业（包括使用水泥的新型墙体材料生产企业）使用散装水泥，没有占水泥使用量的70%以上的。</w:t>
            </w:r>
          </w:p>
        </w:tc>
        <w:tc>
          <w:tcPr>
            <w:tcW w:w="3135" w:type="dxa"/>
            <w:vMerge w:val="restart"/>
            <w:vAlign w:val="center"/>
          </w:tcPr>
          <w:p>
            <w:pPr>
              <w:numPr>
                <w:ilvl w:val="0"/>
                <w:numId w:val="0"/>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z w:val="18"/>
                <w:szCs w:val="18"/>
              </w:rPr>
              <w:t xml:space="preserve"> </w:t>
            </w: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河南省发展散装水泥管理规定》第二十条第二款。</w:t>
            </w:r>
          </w:p>
          <w:p>
            <w:pPr>
              <w:numPr>
                <w:ilvl w:val="0"/>
                <w:numId w:val="0"/>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行政处罚：责令整改，并处以每立方米混凝土100元、每吨沙浆200元或者每吨袋装水泥300元的罚款，但罚款总额不超过30000元。</w:t>
            </w:r>
          </w:p>
          <w:p>
            <w:pPr>
              <w:numPr>
                <w:ilvl w:val="0"/>
                <w:numId w:val="0"/>
              </w:numPr>
              <w:autoSpaceDE w:val="0"/>
              <w:autoSpaceDN w:val="0"/>
              <w:spacing w:line="240" w:lineRule="exact"/>
              <w:rPr>
                <w:rFonts w:hint="eastAsia" w:ascii="宋体" w:hAnsi="宋体" w:eastAsia="宋体" w:cs="宋体"/>
                <w:spacing w:val="-20"/>
                <w:sz w:val="18"/>
                <w:szCs w:val="18"/>
                <w:lang w:val="en-US" w:eastAsia="zh-CN"/>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bookmarkEnd w:id="0"/>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市场秩序股稽查大队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p>
    <w:p>
      <w:pP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decorative"/>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创艺简标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微软雅黑">
    <w:panose1 w:val="020B0503020204020204"/>
    <w:charset w:val="86"/>
    <w:family w:val="script"/>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Courier New">
    <w:panose1 w:val="02070309020205020404"/>
    <w:charset w:val="00"/>
    <w:family w:val="roma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楷体">
    <w:panose1 w:val="02010609060101010101"/>
    <w:charset w:val="86"/>
    <w:family w:val="roman"/>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Arial">
    <w:panose1 w:val="020B0604020202020204"/>
    <w:charset w:val="00"/>
    <w:family w:val="decorative"/>
    <w:pitch w:val="default"/>
    <w:sig w:usb0="E0002AFF" w:usb1="C0007843" w:usb2="00000009" w:usb3="00000000" w:csb0="400001FF" w:csb1="FFFF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0769295">
    <w:nsid w:val="5678FB8F"/>
    <w:multiLevelType w:val="singleLevel"/>
    <w:tmpl w:val="5678FB8F"/>
    <w:lvl w:ilvl="0" w:tentative="1">
      <w:start w:val="2"/>
      <w:numFmt w:val="decimal"/>
      <w:suff w:val="nothing"/>
      <w:lvlText w:val="（%1）"/>
      <w:lvlJc w:val="left"/>
    </w:lvl>
  </w:abstractNum>
  <w:num w:numId="1">
    <w:abstractNumId w:val="14507692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E07F2"/>
    <w:rsid w:val="0BCE07F2"/>
    <w:rsid w:val="1EA9636E"/>
    <w:rsid w:val="2B352705"/>
    <w:rsid w:val="2EDA4E85"/>
    <w:rsid w:val="60223BD3"/>
    <w:rsid w:val="61945286"/>
    <w:rsid w:val="6E04411F"/>
    <w:rsid w:val="7EE715A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2015-12-22T06:48:00Z</dcterms:created>
  <dc:creator>pc</dc:creator>
  <cp:lastModifiedBy>pc</cp:lastModifiedBy>
  <dcterms:modified xsi:type="dcterms:W3CDTF">2015-12-28T02:06:44Z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