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jc w:val="both"/>
        <w:rPr>
          <w:rFonts w:hint="eastAsia" w:ascii="仿宋_GB2312" w:hAnsi="黑体" w:eastAsia="仿宋_GB2312" w:cs="宋体"/>
          <w:sz w:val="22"/>
        </w:rPr>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职权类别：行政检查</w:t>
      </w:r>
    </w:p>
    <w:tbl>
      <w:tblPr>
        <w:tblStyle w:val="3"/>
        <w:tblW w:w="1434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6"/>
        <w:gridCol w:w="1213"/>
        <w:gridCol w:w="3172"/>
        <w:gridCol w:w="1087"/>
        <w:gridCol w:w="4288"/>
        <w:gridCol w:w="1169"/>
        <w:gridCol w:w="789"/>
        <w:gridCol w:w="774"/>
        <w:gridCol w:w="11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8" w:hRule="atLeast"/>
          <w:jc w:val="center"/>
        </w:trPr>
        <w:tc>
          <w:tcPr>
            <w:tcW w:w="726"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2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7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87"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8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2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restart"/>
            <w:vAlign w:val="center"/>
          </w:tcPr>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48</w:t>
            </w:r>
          </w:p>
        </w:tc>
        <w:tc>
          <w:tcPr>
            <w:tcW w:w="1213" w:type="dxa"/>
            <w:vMerge w:val="restart"/>
            <w:vAlign w:val="center"/>
          </w:tcPr>
          <w:p>
            <w:pPr>
              <w:spacing w:line="280" w:lineRule="exact"/>
              <w:jc w:val="lef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对外劳务企业合作检查</w:t>
            </w:r>
          </w:p>
        </w:tc>
        <w:tc>
          <w:tcPr>
            <w:tcW w:w="3172" w:type="dxa"/>
            <w:vMerge w:val="restart"/>
            <w:vAlign w:val="center"/>
          </w:tcPr>
          <w:p>
            <w:pPr>
              <w:autoSpaceDE w:val="0"/>
              <w:autoSpaceDN w:val="0"/>
              <w:spacing w:line="240" w:lineRule="exact"/>
              <w:rPr>
                <w:rFonts w:hint="eastAsia" w:ascii="宋体" w:hAnsi="宋体"/>
                <w:sz w:val="18"/>
                <w:szCs w:val="18"/>
                <w:lang w:val="en-US" w:eastAsia="zh-CN"/>
              </w:rPr>
            </w:pPr>
            <w:r>
              <w:rPr>
                <w:rFonts w:hint="eastAsia" w:ascii="宋体" w:hAnsi="宋体"/>
                <w:sz w:val="18"/>
                <w:szCs w:val="18"/>
                <w:lang w:eastAsia="zh-CN"/>
              </w:rPr>
              <w:t>《</w:t>
            </w:r>
            <w:r>
              <w:rPr>
                <w:rFonts w:hint="eastAsia" w:ascii="宋体" w:hAnsi="宋体"/>
                <w:sz w:val="18"/>
                <w:szCs w:val="18"/>
                <w:lang w:val="en-US" w:eastAsia="zh-CN"/>
              </w:rPr>
              <w:t>对外劳务合作经营资格管理办法</w:t>
            </w:r>
            <w:r>
              <w:rPr>
                <w:rFonts w:hint="eastAsia" w:ascii="宋体" w:hAnsi="宋体"/>
                <w:sz w:val="18"/>
                <w:szCs w:val="18"/>
                <w:lang w:eastAsia="zh-CN"/>
              </w:rPr>
              <w:t>》</w:t>
            </w:r>
            <w:r>
              <w:rPr>
                <w:rFonts w:hint="eastAsia" w:ascii="宋体" w:hAnsi="宋体"/>
                <w:sz w:val="18"/>
                <w:szCs w:val="18"/>
                <w:lang w:val="en-US" w:eastAsia="zh-CN"/>
              </w:rPr>
              <w:t>第十八条，地方商务主管部门应加强对具有对外劳务合作经营资格的企业的监督管理</w:t>
            </w:r>
          </w:p>
          <w:p>
            <w:pPr>
              <w:spacing w:line="240" w:lineRule="exact"/>
              <w:ind w:firstLine="360" w:firstLineChars="200"/>
              <w:jc w:val="left"/>
              <w:rPr>
                <w:rFonts w:hint="eastAsia" w:ascii="仿宋_GB2312" w:hAnsi="黑体" w:eastAsia="仿宋_GB2312" w:cs="宋体"/>
                <w:spacing w:val="-20"/>
                <w:sz w:val="18"/>
                <w:szCs w:val="18"/>
                <w:lang w:eastAsia="zh-CN"/>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88"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69" w:type="dxa"/>
            <w:vAlign w:val="center"/>
          </w:tcPr>
          <w:p>
            <w:pPr>
              <w:spacing w:line="240" w:lineRule="exact"/>
              <w:jc w:val="center"/>
              <w:rPr>
                <w:rFonts w:hint="eastAsia" w:ascii="仿宋_GB2312" w:hAnsi="黑体" w:eastAsia="仿宋_GB2312" w:cs="宋体"/>
                <w:sz w:val="20"/>
                <w:szCs w:val="20"/>
                <w:lang w:eastAsia="zh-CN"/>
              </w:rPr>
            </w:pPr>
            <w:r>
              <w:rPr>
                <w:rFonts w:hint="eastAsia" w:ascii="宋体" w:hAnsi="宋体" w:eastAsia="仿宋_GB2312"/>
                <w:sz w:val="18"/>
                <w:szCs w:val="18"/>
                <w:lang w:val="en-US" w:eastAsia="zh-CN"/>
              </w:rPr>
              <w:t>对外投资与经济合作股</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restart"/>
            <w:vAlign w:val="center"/>
          </w:tcPr>
          <w:p>
            <w:pPr>
              <w:spacing w:line="560" w:lineRule="exact"/>
              <w:jc w:val="center"/>
              <w:rPr>
                <w:rFonts w:hint="eastAsia" w:ascii="仿宋_GB2312" w:hAnsi="黑体" w:eastAsia="仿宋_GB2312" w:cs="宋体"/>
                <w:sz w:val="22"/>
              </w:rPr>
            </w:pPr>
          </w:p>
        </w:tc>
        <w:tc>
          <w:tcPr>
            <w:tcW w:w="1122"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69"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对外投资与经济合作股</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69"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对外投资与经济合作股</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7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69" w:type="dxa"/>
            <w:vAlign w:val="center"/>
          </w:tcPr>
          <w:p>
            <w:pPr>
              <w:spacing w:line="240" w:lineRule="exact"/>
              <w:jc w:val="center"/>
              <w:rPr>
                <w:rFonts w:hint="eastAsia" w:ascii="仿宋_GB2312" w:hAnsi="黑体" w:eastAsia="仿宋_GB2312" w:cs="宋体"/>
                <w:sz w:val="20"/>
                <w:szCs w:val="20"/>
              </w:rPr>
            </w:pPr>
            <w:r>
              <w:rPr>
                <w:rFonts w:hint="eastAsia" w:ascii="宋体" w:hAnsi="宋体" w:eastAsia="仿宋_GB2312"/>
                <w:sz w:val="18"/>
                <w:szCs w:val="18"/>
                <w:lang w:val="en-US" w:eastAsia="zh-CN"/>
              </w:rPr>
              <w:t>对外投资与经济合作股</w:t>
            </w:r>
          </w:p>
        </w:tc>
        <w:tc>
          <w:tcPr>
            <w:tcW w:w="789" w:type="dxa"/>
            <w:vAlign w:val="center"/>
          </w:tcPr>
          <w:p>
            <w:pPr>
              <w:spacing w:line="560" w:lineRule="exact"/>
              <w:jc w:val="center"/>
              <w:rPr>
                <w:rFonts w:hint="eastAsia" w:ascii="仿宋_GB2312" w:hAnsi="黑体" w:eastAsia="仿宋_GB2312" w:cs="宋体"/>
                <w:sz w:val="22"/>
              </w:rPr>
            </w:pP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7"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2"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p>
    <w:p>
      <w:pPr/>
    </w:p>
    <w:p>
      <w:pPr>
        <w:spacing w:line="560" w:lineRule="exact"/>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34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6"/>
        <w:gridCol w:w="1213"/>
        <w:gridCol w:w="3172"/>
        <w:gridCol w:w="1087"/>
        <w:gridCol w:w="4288"/>
        <w:gridCol w:w="1169"/>
        <w:gridCol w:w="789"/>
        <w:gridCol w:w="774"/>
        <w:gridCol w:w="11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8" w:hRule="atLeast"/>
          <w:jc w:val="center"/>
        </w:trPr>
        <w:tc>
          <w:tcPr>
            <w:tcW w:w="726"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2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7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87"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8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2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restart"/>
            <w:vAlign w:val="center"/>
          </w:tcPr>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49</w:t>
            </w:r>
          </w:p>
        </w:tc>
        <w:tc>
          <w:tcPr>
            <w:tcW w:w="1213" w:type="dxa"/>
            <w:vMerge w:val="restart"/>
            <w:vAlign w:val="center"/>
          </w:tcPr>
          <w:p>
            <w:pPr>
              <w:spacing w:line="280" w:lineRule="exact"/>
              <w:jc w:val="lef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再生资源回收备案检查</w:t>
            </w:r>
          </w:p>
        </w:tc>
        <w:tc>
          <w:tcPr>
            <w:tcW w:w="3172" w:type="dxa"/>
            <w:vMerge w:val="restart"/>
            <w:vAlign w:val="center"/>
          </w:tcPr>
          <w:p>
            <w:pPr>
              <w:spacing w:line="240" w:lineRule="exact"/>
              <w:ind w:firstLine="360" w:firstLineChars="200"/>
              <w:jc w:val="left"/>
              <w:rPr>
                <w:rFonts w:hint="eastAsia" w:ascii="宋体" w:hAnsi="宋体" w:eastAsia="宋体" w:cs="宋体"/>
                <w:spacing w:val="-20"/>
                <w:sz w:val="18"/>
                <w:szCs w:val="18"/>
                <w:lang w:eastAsia="zh-CN"/>
              </w:rPr>
            </w:pPr>
            <w:r>
              <w:rPr>
                <w:rFonts w:hint="eastAsia" w:ascii="宋体" w:hAnsi="宋体" w:eastAsia="宋体" w:cs="宋体"/>
                <w:spacing w:val="-20"/>
                <w:sz w:val="18"/>
                <w:szCs w:val="18"/>
                <w:lang w:eastAsia="zh-CN"/>
              </w:rPr>
              <w:t>《</w:t>
            </w:r>
            <w:r>
              <w:rPr>
                <w:rFonts w:hint="eastAsia" w:ascii="宋体" w:hAnsi="宋体" w:eastAsia="宋体" w:cs="宋体"/>
                <w:spacing w:val="-20"/>
                <w:sz w:val="18"/>
                <w:szCs w:val="18"/>
                <w:lang w:val="en-US" w:eastAsia="zh-CN"/>
              </w:rPr>
              <w:t>再生资源回收管理办法</w:t>
            </w:r>
            <w:r>
              <w:rPr>
                <w:rFonts w:hint="eastAsia" w:ascii="宋体" w:hAnsi="宋体" w:eastAsia="宋体" w:cs="宋体"/>
                <w:spacing w:val="-20"/>
                <w:sz w:val="18"/>
                <w:szCs w:val="18"/>
                <w:lang w:eastAsia="zh-CN"/>
              </w:rPr>
              <w:t>》</w:t>
            </w:r>
            <w:r>
              <w:rPr>
                <w:rFonts w:hint="eastAsia" w:ascii="宋体" w:hAnsi="宋体" w:eastAsia="宋体" w:cs="宋体"/>
                <w:spacing w:val="-20"/>
                <w:sz w:val="18"/>
                <w:szCs w:val="18"/>
                <w:lang w:val="en-US" w:eastAsia="zh-CN"/>
              </w:rPr>
              <w:t>第三章第七条从事再生资源回收经营活动应当在取得营业执照后30天内，按属地管理原则，向登记注册工商行政管理部门的同级商务部门或者其授权机构备案。</w:t>
            </w: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88"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restart"/>
            <w:vAlign w:val="center"/>
          </w:tcPr>
          <w:p>
            <w:pPr>
              <w:spacing w:line="560" w:lineRule="exact"/>
              <w:jc w:val="center"/>
              <w:rPr>
                <w:rFonts w:hint="eastAsia" w:ascii="仿宋_GB2312" w:hAnsi="黑体" w:eastAsia="仿宋_GB2312" w:cs="宋体"/>
                <w:sz w:val="22"/>
              </w:rPr>
            </w:pPr>
          </w:p>
        </w:tc>
        <w:tc>
          <w:tcPr>
            <w:tcW w:w="1122"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rPr>
            </w:pP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7"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2"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both"/>
        <w:rPr>
          <w:rFonts w:hint="eastAsia" w:ascii="黑体" w:eastAsia="黑体"/>
          <w:sz w:val="32"/>
          <w:szCs w:val="32"/>
          <w:lang w:val="zh-CN"/>
        </w:rPr>
      </w:pPr>
    </w:p>
    <w:p>
      <w:pPr>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57" w:hRule="atLeast"/>
          <w:jc w:val="center"/>
        </w:trPr>
        <w:tc>
          <w:tcPr>
            <w:tcW w:w="718" w:type="dxa"/>
            <w:vMerge w:val="restart"/>
            <w:vAlign w:val="center"/>
          </w:tcPr>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50</w:t>
            </w:r>
          </w:p>
        </w:tc>
        <w:tc>
          <w:tcPr>
            <w:tcW w:w="1199" w:type="dxa"/>
            <w:vMerge w:val="restart"/>
            <w:vAlign w:val="center"/>
          </w:tcPr>
          <w:p>
            <w:pPr>
              <w:spacing w:line="280" w:lineRule="exact"/>
              <w:jc w:val="left"/>
              <w:rPr>
                <w:rFonts w:hint="eastAsia" w:ascii="宋体" w:hAnsi="宋体" w:eastAsia="宋体" w:cs="宋体"/>
                <w:spacing w:val="-20"/>
                <w:sz w:val="18"/>
                <w:szCs w:val="18"/>
                <w:lang w:eastAsia="zh-CN"/>
              </w:rPr>
            </w:pPr>
            <w:r>
              <w:rPr>
                <w:rFonts w:hint="eastAsia" w:ascii="宋体" w:hAnsi="宋体" w:eastAsia="宋体" w:cs="宋体"/>
                <w:sz w:val="18"/>
                <w:szCs w:val="18"/>
                <w:lang w:val="en-US" w:eastAsia="zh-CN"/>
              </w:rPr>
              <w:t>酒类经营者现场检查</w:t>
            </w:r>
          </w:p>
        </w:tc>
        <w:tc>
          <w:tcPr>
            <w:tcW w:w="3135" w:type="dxa"/>
            <w:vMerge w:val="restart"/>
            <w:vAlign w:val="center"/>
          </w:tcPr>
          <w:p>
            <w:pPr>
              <w:spacing w:line="240" w:lineRule="exact"/>
              <w:ind w:firstLine="360" w:firstLineChars="200"/>
              <w:jc w:val="left"/>
              <w:rPr>
                <w:rFonts w:hint="eastAsia" w:ascii="仿宋_GB2312" w:hAnsi="黑体" w:eastAsia="仿宋_GB2312" w:cs="宋体"/>
                <w:spacing w:val="-20"/>
                <w:sz w:val="18"/>
                <w:szCs w:val="18"/>
                <w:lang w:eastAsia="zh-CN"/>
              </w:rPr>
            </w:pPr>
            <w:r>
              <w:rPr>
                <w:rFonts w:hint="eastAsia" w:ascii="宋体" w:hAnsi="宋体" w:eastAsia="宋体" w:cs="宋体"/>
                <w:spacing w:val="-20"/>
                <w:sz w:val="18"/>
                <w:szCs w:val="18"/>
                <w:lang w:eastAsia="zh-CN"/>
              </w:rPr>
              <w:t>《</w:t>
            </w:r>
            <w:r>
              <w:rPr>
                <w:rFonts w:hint="eastAsia" w:ascii="宋体" w:hAnsi="宋体" w:eastAsia="宋体" w:cs="宋体"/>
                <w:spacing w:val="-20"/>
                <w:sz w:val="18"/>
                <w:szCs w:val="18"/>
                <w:lang w:val="en-US" w:eastAsia="zh-CN"/>
              </w:rPr>
              <w:t>酒类流通管理办法</w:t>
            </w:r>
            <w:r>
              <w:rPr>
                <w:rFonts w:hint="eastAsia" w:ascii="宋体" w:hAnsi="宋体" w:eastAsia="宋体" w:cs="宋体"/>
                <w:spacing w:val="-20"/>
                <w:sz w:val="18"/>
                <w:szCs w:val="18"/>
                <w:lang w:eastAsia="zh-CN"/>
              </w:rPr>
              <w:t>》</w:t>
            </w:r>
            <w:r>
              <w:rPr>
                <w:rFonts w:hint="eastAsia" w:ascii="宋体" w:hAnsi="宋体" w:eastAsia="宋体" w:cs="宋体"/>
                <w:spacing w:val="-20"/>
                <w:sz w:val="18"/>
                <w:szCs w:val="18"/>
                <w:lang w:val="en-US" w:eastAsia="zh-CN"/>
              </w:rPr>
              <w:t>第一章第五条县级以上商务主管部门负责本行政区域内酒类流通监督管理工作</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39"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运行调节股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57"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运行调节股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57"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运行调节股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57"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55"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运行调节股</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p>
    <w:p>
      <w:pPr/>
    </w:p>
    <w:p>
      <w:pPr/>
    </w:p>
    <w:p>
      <w:pPr/>
    </w:p>
    <w:p>
      <w:pPr>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34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6"/>
        <w:gridCol w:w="1213"/>
        <w:gridCol w:w="3172"/>
        <w:gridCol w:w="1087"/>
        <w:gridCol w:w="4288"/>
        <w:gridCol w:w="1169"/>
        <w:gridCol w:w="789"/>
        <w:gridCol w:w="774"/>
        <w:gridCol w:w="11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8" w:hRule="atLeast"/>
          <w:jc w:val="center"/>
        </w:trPr>
        <w:tc>
          <w:tcPr>
            <w:tcW w:w="726"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2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7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87"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8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2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restart"/>
            <w:vAlign w:val="center"/>
          </w:tcPr>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51</w:t>
            </w:r>
          </w:p>
        </w:tc>
        <w:tc>
          <w:tcPr>
            <w:tcW w:w="1213" w:type="dxa"/>
            <w:vMerge w:val="restart"/>
            <w:vAlign w:val="center"/>
          </w:tcPr>
          <w:p>
            <w:pPr>
              <w:spacing w:line="280" w:lineRule="exact"/>
              <w:jc w:val="lef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流通领域食品安全检查</w:t>
            </w:r>
          </w:p>
        </w:tc>
        <w:tc>
          <w:tcPr>
            <w:tcW w:w="3172"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流通领域食品安全管理办法</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第四条，县级以地方商务主管部门负责本行政区域内流通领域、食品安全的行业管理，负责指导、督促市场建立保障食品流通安全的管理制度。</w:t>
            </w:r>
          </w:p>
          <w:p>
            <w:pPr>
              <w:spacing w:line="240" w:lineRule="exact"/>
              <w:ind w:firstLine="360" w:firstLineChars="200"/>
              <w:jc w:val="left"/>
              <w:rPr>
                <w:rFonts w:hint="eastAsia" w:ascii="宋体" w:hAnsi="宋体" w:eastAsia="宋体" w:cs="宋体"/>
                <w:spacing w:val="-20"/>
                <w:sz w:val="18"/>
                <w:szCs w:val="18"/>
                <w:lang w:eastAsia="zh-CN"/>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88"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restart"/>
            <w:vAlign w:val="center"/>
          </w:tcPr>
          <w:p>
            <w:pPr>
              <w:spacing w:line="560" w:lineRule="exact"/>
              <w:jc w:val="center"/>
              <w:rPr>
                <w:rFonts w:hint="eastAsia" w:ascii="仿宋_GB2312" w:hAnsi="黑体" w:eastAsia="仿宋_GB2312" w:cs="宋体"/>
                <w:sz w:val="22"/>
              </w:rPr>
            </w:pPr>
          </w:p>
        </w:tc>
        <w:tc>
          <w:tcPr>
            <w:tcW w:w="1122"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rPr>
            </w:pP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7"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2"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p>
    <w:p>
      <w:pPr>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34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6"/>
        <w:gridCol w:w="1213"/>
        <w:gridCol w:w="3172"/>
        <w:gridCol w:w="1087"/>
        <w:gridCol w:w="4288"/>
        <w:gridCol w:w="1169"/>
        <w:gridCol w:w="789"/>
        <w:gridCol w:w="774"/>
        <w:gridCol w:w="11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8" w:hRule="atLeast"/>
          <w:jc w:val="center"/>
        </w:trPr>
        <w:tc>
          <w:tcPr>
            <w:tcW w:w="726"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2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7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87"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8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2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restart"/>
            <w:vAlign w:val="center"/>
          </w:tcPr>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52</w:t>
            </w:r>
          </w:p>
        </w:tc>
        <w:tc>
          <w:tcPr>
            <w:tcW w:w="1213" w:type="dxa"/>
            <w:vMerge w:val="restart"/>
            <w:vAlign w:val="center"/>
          </w:tcPr>
          <w:p>
            <w:pPr>
              <w:spacing w:line="280" w:lineRule="exact"/>
              <w:jc w:val="lef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单用途商业预付卡检查</w:t>
            </w:r>
          </w:p>
        </w:tc>
        <w:tc>
          <w:tcPr>
            <w:tcW w:w="3172"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单用途商业预付卡管理办法</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第五条，县级以地方人民商务主管部门负责本行政区域内单用途长监督管理工作。</w:t>
            </w:r>
          </w:p>
          <w:p>
            <w:pPr>
              <w:spacing w:line="240" w:lineRule="exact"/>
              <w:ind w:firstLine="360" w:firstLineChars="200"/>
              <w:jc w:val="left"/>
              <w:rPr>
                <w:rFonts w:hint="eastAsia" w:ascii="宋体" w:hAnsi="宋体" w:eastAsia="宋体" w:cs="宋体"/>
                <w:spacing w:val="-20"/>
                <w:sz w:val="18"/>
                <w:szCs w:val="18"/>
                <w:lang w:eastAsia="zh-CN"/>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88"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restart"/>
            <w:vAlign w:val="center"/>
          </w:tcPr>
          <w:p>
            <w:pPr>
              <w:spacing w:line="560" w:lineRule="exact"/>
              <w:jc w:val="center"/>
              <w:rPr>
                <w:rFonts w:hint="eastAsia" w:ascii="仿宋_GB2312" w:hAnsi="黑体" w:eastAsia="仿宋_GB2312" w:cs="宋体"/>
                <w:sz w:val="22"/>
              </w:rPr>
            </w:pPr>
          </w:p>
        </w:tc>
        <w:tc>
          <w:tcPr>
            <w:tcW w:w="1122"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rPr>
            </w:pP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7"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2"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p>
    <w:p>
      <w:pPr>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34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6"/>
        <w:gridCol w:w="1213"/>
        <w:gridCol w:w="3172"/>
        <w:gridCol w:w="1087"/>
        <w:gridCol w:w="4288"/>
        <w:gridCol w:w="1169"/>
        <w:gridCol w:w="789"/>
        <w:gridCol w:w="774"/>
        <w:gridCol w:w="11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8" w:hRule="atLeast"/>
          <w:jc w:val="center"/>
        </w:trPr>
        <w:tc>
          <w:tcPr>
            <w:tcW w:w="726"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2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7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87"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8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2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restart"/>
            <w:vAlign w:val="center"/>
          </w:tcPr>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53</w:t>
            </w:r>
          </w:p>
        </w:tc>
        <w:tc>
          <w:tcPr>
            <w:tcW w:w="1213" w:type="dxa"/>
            <w:vMerge w:val="restart"/>
            <w:vAlign w:val="center"/>
          </w:tcPr>
          <w:p>
            <w:pPr>
              <w:spacing w:line="280" w:lineRule="exact"/>
              <w:jc w:val="lef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美容美发监督检查</w:t>
            </w:r>
          </w:p>
        </w:tc>
        <w:tc>
          <w:tcPr>
            <w:tcW w:w="3172"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美容美发管理暂行办法</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第三条，各级商务主管部门在本行政区域内对美容美发业进行指导、协调、监管和管理。</w:t>
            </w:r>
          </w:p>
          <w:p>
            <w:pPr>
              <w:spacing w:line="240" w:lineRule="exact"/>
              <w:ind w:firstLine="360" w:firstLineChars="200"/>
              <w:jc w:val="left"/>
              <w:rPr>
                <w:rFonts w:hint="eastAsia" w:ascii="宋体" w:hAnsi="宋体" w:eastAsia="宋体" w:cs="宋体"/>
                <w:spacing w:val="-20"/>
                <w:sz w:val="18"/>
                <w:szCs w:val="18"/>
                <w:lang w:eastAsia="zh-CN"/>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88"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restart"/>
            <w:vAlign w:val="center"/>
          </w:tcPr>
          <w:p>
            <w:pPr>
              <w:spacing w:line="560" w:lineRule="exact"/>
              <w:jc w:val="center"/>
              <w:rPr>
                <w:rFonts w:hint="eastAsia" w:ascii="仿宋_GB2312" w:hAnsi="黑体" w:eastAsia="仿宋_GB2312" w:cs="宋体"/>
                <w:sz w:val="22"/>
              </w:rPr>
            </w:pPr>
          </w:p>
        </w:tc>
        <w:tc>
          <w:tcPr>
            <w:tcW w:w="1122"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69" w:type="dxa"/>
            <w:textDirection w:val="lrTb"/>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69" w:type="dxa"/>
            <w:textDirection w:val="lrTb"/>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69" w:type="dxa"/>
            <w:textDirection w:val="lrTb"/>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rPr>
            </w:pP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7"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2"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p>
    <w:p>
      <w:pPr>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34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6"/>
        <w:gridCol w:w="1213"/>
        <w:gridCol w:w="3172"/>
        <w:gridCol w:w="1087"/>
        <w:gridCol w:w="4288"/>
        <w:gridCol w:w="1169"/>
        <w:gridCol w:w="789"/>
        <w:gridCol w:w="774"/>
        <w:gridCol w:w="11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8" w:hRule="atLeast"/>
          <w:jc w:val="center"/>
        </w:trPr>
        <w:tc>
          <w:tcPr>
            <w:tcW w:w="726"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2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7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87"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8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2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restart"/>
            <w:vAlign w:val="center"/>
          </w:tcPr>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54</w:t>
            </w:r>
          </w:p>
        </w:tc>
        <w:tc>
          <w:tcPr>
            <w:tcW w:w="1213" w:type="dxa"/>
            <w:vMerge w:val="restart"/>
            <w:vAlign w:val="center"/>
          </w:tcPr>
          <w:p>
            <w:pPr>
              <w:spacing w:line="280" w:lineRule="exact"/>
              <w:jc w:val="lef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洗染业监督检查</w:t>
            </w:r>
          </w:p>
        </w:tc>
        <w:tc>
          <w:tcPr>
            <w:tcW w:w="3172"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eastAsia="宋体" w:cs="宋体"/>
                <w:sz w:val="18"/>
                <w:szCs w:val="18"/>
                <w:lang w:eastAsia="zh-CN"/>
              </w:rPr>
              <w:t>《</w:t>
            </w:r>
            <w:r>
              <w:rPr>
                <w:rFonts w:hint="eastAsia" w:ascii="宋体" w:hAnsi="宋体" w:eastAsia="宋体" w:cs="宋体"/>
                <w:spacing w:val="-20"/>
                <w:sz w:val="18"/>
                <w:szCs w:val="18"/>
                <w:lang w:val="en-US" w:eastAsia="zh-CN"/>
              </w:rPr>
              <w:t>洗染业</w:t>
            </w:r>
            <w:r>
              <w:rPr>
                <w:rFonts w:hint="eastAsia" w:ascii="宋体" w:hAnsi="宋体" w:eastAsia="宋体" w:cs="宋体"/>
                <w:sz w:val="18"/>
                <w:szCs w:val="18"/>
                <w:lang w:val="en-US" w:eastAsia="zh-CN"/>
              </w:rPr>
              <w:t>管理办法</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第三条，地方各级商务主管部门负责本行政区域内洗染行业进行指导、协调、监管和管理工作。</w:t>
            </w:r>
          </w:p>
          <w:p>
            <w:pPr>
              <w:autoSpaceDE w:val="0"/>
              <w:autoSpaceDN w:val="0"/>
              <w:spacing w:line="240" w:lineRule="exact"/>
              <w:rPr>
                <w:rFonts w:hint="eastAsia" w:ascii="宋体" w:hAnsi="宋体" w:eastAsia="宋体" w:cs="宋体"/>
                <w:sz w:val="18"/>
                <w:szCs w:val="18"/>
                <w:lang w:val="en-US" w:eastAsia="zh-CN"/>
              </w:rPr>
            </w:pPr>
          </w:p>
          <w:p>
            <w:pPr>
              <w:spacing w:line="240" w:lineRule="exact"/>
              <w:ind w:firstLine="360" w:firstLineChars="200"/>
              <w:jc w:val="left"/>
              <w:rPr>
                <w:rFonts w:hint="eastAsia" w:ascii="宋体" w:hAnsi="宋体" w:eastAsia="宋体" w:cs="宋体"/>
                <w:spacing w:val="-20"/>
                <w:sz w:val="18"/>
                <w:szCs w:val="18"/>
                <w:lang w:eastAsia="zh-CN"/>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88"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restart"/>
            <w:vAlign w:val="center"/>
          </w:tcPr>
          <w:p>
            <w:pPr>
              <w:spacing w:line="560" w:lineRule="exact"/>
              <w:jc w:val="center"/>
              <w:rPr>
                <w:rFonts w:hint="eastAsia" w:ascii="仿宋_GB2312" w:hAnsi="黑体" w:eastAsia="仿宋_GB2312" w:cs="宋体"/>
                <w:sz w:val="22"/>
              </w:rPr>
            </w:pPr>
          </w:p>
        </w:tc>
        <w:tc>
          <w:tcPr>
            <w:tcW w:w="1122"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rPr>
            </w:pP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7"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2"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p>
    <w:p>
      <w:pPr>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34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6"/>
        <w:gridCol w:w="1213"/>
        <w:gridCol w:w="3172"/>
        <w:gridCol w:w="1087"/>
        <w:gridCol w:w="4288"/>
        <w:gridCol w:w="1169"/>
        <w:gridCol w:w="789"/>
        <w:gridCol w:w="774"/>
        <w:gridCol w:w="11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8" w:hRule="atLeast"/>
          <w:jc w:val="center"/>
        </w:trPr>
        <w:tc>
          <w:tcPr>
            <w:tcW w:w="726"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2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7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87"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8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2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restart"/>
            <w:vAlign w:val="center"/>
          </w:tcPr>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55</w:t>
            </w:r>
          </w:p>
        </w:tc>
        <w:tc>
          <w:tcPr>
            <w:tcW w:w="1213" w:type="dxa"/>
            <w:vMerge w:val="restart"/>
            <w:vAlign w:val="center"/>
          </w:tcPr>
          <w:p>
            <w:pPr>
              <w:spacing w:line="280" w:lineRule="exact"/>
              <w:jc w:val="lef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零售商促销监督检查</w:t>
            </w:r>
          </w:p>
        </w:tc>
        <w:tc>
          <w:tcPr>
            <w:tcW w:w="3172"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eastAsia="宋体" w:cs="宋体"/>
                <w:sz w:val="18"/>
                <w:szCs w:val="18"/>
                <w:lang w:eastAsia="zh-CN"/>
              </w:rPr>
              <w:t>《</w:t>
            </w:r>
            <w:r>
              <w:rPr>
                <w:rFonts w:hint="eastAsia" w:ascii="宋体" w:hAnsi="宋体" w:eastAsia="宋体" w:cs="宋体"/>
                <w:spacing w:val="-20"/>
                <w:sz w:val="18"/>
                <w:szCs w:val="18"/>
                <w:lang w:val="en-US" w:eastAsia="zh-CN"/>
              </w:rPr>
              <w:t>零售商促销</w:t>
            </w:r>
            <w:r>
              <w:rPr>
                <w:rFonts w:hint="eastAsia" w:ascii="宋体" w:hAnsi="宋体" w:eastAsia="宋体" w:cs="宋体"/>
                <w:sz w:val="18"/>
                <w:szCs w:val="18"/>
                <w:lang w:val="en-US" w:eastAsia="zh-CN"/>
              </w:rPr>
              <w:t>管理办法</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第二十一条，各地商务、价格、税务、工商等部门依照法律法规及有关规定，在各自职责范围内对促销行为进行监督管理。</w:t>
            </w:r>
          </w:p>
          <w:p>
            <w:pPr>
              <w:spacing w:line="240" w:lineRule="exact"/>
              <w:ind w:firstLine="360" w:firstLineChars="200"/>
              <w:jc w:val="left"/>
              <w:rPr>
                <w:rFonts w:hint="eastAsia" w:ascii="宋体" w:hAnsi="宋体" w:eastAsia="宋体" w:cs="宋体"/>
                <w:spacing w:val="-20"/>
                <w:sz w:val="18"/>
                <w:szCs w:val="18"/>
                <w:lang w:eastAsia="zh-CN"/>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88"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restart"/>
            <w:vAlign w:val="center"/>
          </w:tcPr>
          <w:p>
            <w:pPr>
              <w:spacing w:line="560" w:lineRule="exact"/>
              <w:jc w:val="center"/>
              <w:rPr>
                <w:rFonts w:hint="eastAsia" w:ascii="仿宋_GB2312" w:hAnsi="黑体" w:eastAsia="仿宋_GB2312" w:cs="宋体"/>
                <w:sz w:val="22"/>
              </w:rPr>
            </w:pPr>
          </w:p>
        </w:tc>
        <w:tc>
          <w:tcPr>
            <w:tcW w:w="1122"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rPr>
              <w:t>市场</w:t>
            </w:r>
            <w:r>
              <w:rPr>
                <w:rFonts w:hint="eastAsia" w:ascii="宋体" w:hAnsi="宋体"/>
                <w:sz w:val="18"/>
                <w:szCs w:val="18"/>
                <w:lang w:val="en-US" w:eastAsia="zh-CN"/>
              </w:rPr>
              <w:t>秩序股</w:t>
            </w:r>
          </w:p>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rPr>
            </w:pP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7"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2"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p>
    <w:p>
      <w:pPr>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职权类别：行政检查</w:t>
      </w:r>
    </w:p>
    <w:tbl>
      <w:tblPr>
        <w:tblStyle w:val="3"/>
        <w:tblW w:w="1434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6"/>
        <w:gridCol w:w="1213"/>
        <w:gridCol w:w="3172"/>
        <w:gridCol w:w="1087"/>
        <w:gridCol w:w="4288"/>
        <w:gridCol w:w="1169"/>
        <w:gridCol w:w="789"/>
        <w:gridCol w:w="774"/>
        <w:gridCol w:w="11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8" w:hRule="atLeast"/>
          <w:jc w:val="center"/>
        </w:trPr>
        <w:tc>
          <w:tcPr>
            <w:tcW w:w="726"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2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7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87"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8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78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22"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restart"/>
            <w:vAlign w:val="center"/>
          </w:tcPr>
          <w:p>
            <w:pPr>
              <w:spacing w:line="560" w:lineRule="exact"/>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56</w:t>
            </w:r>
          </w:p>
        </w:tc>
        <w:tc>
          <w:tcPr>
            <w:tcW w:w="1213" w:type="dxa"/>
            <w:vMerge w:val="restart"/>
            <w:vAlign w:val="center"/>
          </w:tcPr>
          <w:p>
            <w:pPr>
              <w:spacing w:line="280" w:lineRule="exact"/>
              <w:jc w:val="lef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从事散装水泥生产、经营、运输、使用的监督检查</w:t>
            </w:r>
          </w:p>
        </w:tc>
        <w:tc>
          <w:tcPr>
            <w:tcW w:w="3172" w:type="dxa"/>
            <w:vMerge w:val="restart"/>
            <w:vAlign w:val="center"/>
          </w:tcPr>
          <w:p>
            <w:pPr>
              <w:autoSpaceDE w:val="0"/>
              <w:autoSpaceDN w:val="0"/>
              <w:spacing w:line="240" w:lineRule="exact"/>
              <w:rPr>
                <w:rFonts w:hint="eastAsia" w:ascii="宋体" w:hAnsi="宋体" w:eastAsia="宋体" w:cs="宋体"/>
                <w:spacing w:val="-20"/>
                <w:sz w:val="18"/>
                <w:szCs w:val="18"/>
                <w:lang w:eastAsia="zh-CN"/>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散装水泥管理办法</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第四条，省以商务行政主管部门负责全省散装是水泥的监督管理工作，省辖市、县（市）人民政府确定的散装水泥工作，行政主管部门负责本行政区域内散装水泥的监督管理工作。</w:t>
            </w: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检查</w:t>
            </w:r>
          </w:p>
        </w:tc>
        <w:tc>
          <w:tcPr>
            <w:tcW w:w="4288" w:type="dxa"/>
            <w:vAlign w:val="center"/>
          </w:tcPr>
          <w:p>
            <w:pPr>
              <w:widowControl/>
              <w:spacing w:line="300" w:lineRule="exact"/>
              <w:jc w:val="left"/>
              <w:rPr>
                <w:rFonts w:hint="eastAsia" w:ascii="仿宋_GB2312" w:hAnsi="黑体" w:eastAsia="仿宋_GB2312" w:cs="宋体"/>
                <w:sz w:val="15"/>
                <w:szCs w:val="15"/>
              </w:rPr>
            </w:pPr>
            <w:r>
              <w:rPr>
                <w:rFonts w:hint="eastAsia" w:ascii="宋体" w:hAnsi="宋体"/>
                <w:kern w:val="0"/>
                <w:szCs w:val="21"/>
              </w:rPr>
              <w:t>1.检查责任：按照法规的规定和程序实施检查，实事求是，证据完整、确凿。监督检查人员不得少于二人，并应当出示合法证件；</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restart"/>
            <w:vAlign w:val="center"/>
          </w:tcPr>
          <w:p>
            <w:pPr>
              <w:spacing w:line="560" w:lineRule="exact"/>
              <w:jc w:val="center"/>
              <w:rPr>
                <w:rFonts w:hint="eastAsia" w:ascii="仿宋_GB2312" w:hAnsi="黑体" w:eastAsia="仿宋_GB2312" w:cs="宋体"/>
                <w:sz w:val="22"/>
              </w:rPr>
            </w:pPr>
          </w:p>
        </w:tc>
        <w:tc>
          <w:tcPr>
            <w:tcW w:w="1122"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处置</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2.处置责任：依法处置，不得违反法规；</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宋体" w:hAnsi="宋体"/>
                <w:kern w:val="0"/>
                <w:szCs w:val="21"/>
              </w:rPr>
              <w:t>信息公开</w:t>
            </w: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3.信息公开责任：依法规、按照程序办理信息公开事项；</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jc w:val="center"/>
        </w:trPr>
        <w:tc>
          <w:tcPr>
            <w:tcW w:w="726" w:type="dxa"/>
            <w:vMerge w:val="continue"/>
            <w:vAlign w:val="center"/>
          </w:tcPr>
          <w:p>
            <w:pPr>
              <w:spacing w:line="560" w:lineRule="exact"/>
              <w:jc w:val="center"/>
              <w:rPr>
                <w:rFonts w:hint="eastAsia" w:ascii="仿宋_GB2312" w:hAnsi="黑体" w:eastAsia="仿宋_GB2312" w:cs="宋体"/>
                <w:sz w:val="22"/>
              </w:rPr>
            </w:pPr>
          </w:p>
        </w:tc>
        <w:tc>
          <w:tcPr>
            <w:tcW w:w="1213" w:type="dxa"/>
            <w:vMerge w:val="continue"/>
            <w:vAlign w:val="center"/>
          </w:tcPr>
          <w:p>
            <w:pPr>
              <w:autoSpaceDE w:val="0"/>
              <w:autoSpaceDN w:val="0"/>
              <w:spacing w:line="240" w:lineRule="exact"/>
              <w:rPr>
                <w:rFonts w:hint="eastAsia" w:ascii="宋体" w:hAnsi="宋体" w:cs="宋体"/>
                <w:spacing w:val="-20"/>
                <w:kern w:val="0"/>
                <w:szCs w:val="21"/>
              </w:rPr>
            </w:pPr>
          </w:p>
        </w:tc>
        <w:tc>
          <w:tcPr>
            <w:tcW w:w="3172"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87"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88" w:type="dxa"/>
            <w:vAlign w:val="center"/>
          </w:tcPr>
          <w:p>
            <w:pPr>
              <w:widowControl/>
              <w:spacing w:line="300" w:lineRule="exact"/>
              <w:jc w:val="left"/>
              <w:rPr>
                <w:rFonts w:hint="eastAsia" w:ascii="仿宋_GB2312" w:hAnsi="仿宋_GB2312" w:eastAsia="仿宋_GB2312"/>
                <w:spacing w:val="-20"/>
                <w:sz w:val="15"/>
                <w:szCs w:val="15"/>
              </w:rPr>
            </w:pPr>
            <w:r>
              <w:rPr>
                <w:rFonts w:hint="eastAsia" w:ascii="宋体" w:hAnsi="宋体"/>
                <w:kern w:val="0"/>
                <w:szCs w:val="21"/>
              </w:rPr>
              <w:t>4.其他法律法规规章文件规定应履行的责任。</w:t>
            </w:r>
          </w:p>
        </w:tc>
        <w:tc>
          <w:tcPr>
            <w:tcW w:w="1169" w:type="dxa"/>
            <w:vAlign w:val="center"/>
          </w:tcPr>
          <w:p>
            <w:pPr>
              <w:spacing w:line="240" w:lineRule="exact"/>
              <w:jc w:val="center"/>
              <w:rPr>
                <w:rFonts w:hint="eastAsia" w:ascii="宋体" w:hAnsi="宋体"/>
                <w:sz w:val="18"/>
                <w:szCs w:val="18"/>
                <w:lang w:val="en-US" w:eastAsia="zh-CN"/>
              </w:rPr>
            </w:pPr>
            <w:r>
              <w:rPr>
                <w:rFonts w:hint="eastAsia" w:ascii="宋体" w:hAnsi="宋体"/>
                <w:sz w:val="18"/>
                <w:szCs w:val="18"/>
                <w:lang w:val="en-US" w:eastAsia="zh-CN"/>
              </w:rPr>
              <w:t>商贸服务股商务稽查</w:t>
            </w:r>
          </w:p>
          <w:p>
            <w:pPr>
              <w:spacing w:line="240" w:lineRule="exact"/>
              <w:jc w:val="center"/>
              <w:rPr>
                <w:rFonts w:hint="eastAsia" w:ascii="仿宋_GB2312" w:hAnsi="黑体" w:eastAsia="仿宋_GB2312" w:cs="宋体"/>
                <w:sz w:val="20"/>
                <w:szCs w:val="20"/>
              </w:rPr>
            </w:pPr>
            <w:r>
              <w:rPr>
                <w:rFonts w:hint="eastAsia" w:ascii="宋体" w:hAnsi="宋体"/>
                <w:sz w:val="18"/>
                <w:szCs w:val="18"/>
                <w:lang w:val="en-US" w:eastAsia="zh-CN"/>
              </w:rPr>
              <w:t>大队</w:t>
            </w:r>
          </w:p>
        </w:tc>
        <w:tc>
          <w:tcPr>
            <w:tcW w:w="789" w:type="dxa"/>
            <w:vAlign w:val="center"/>
          </w:tcPr>
          <w:p>
            <w:pPr>
              <w:spacing w:line="560" w:lineRule="exact"/>
              <w:jc w:val="center"/>
              <w:rPr>
                <w:rFonts w:hint="eastAsia" w:ascii="仿宋_GB2312" w:hAnsi="黑体" w:eastAsia="仿宋_GB2312" w:cs="宋体"/>
                <w:sz w:val="22"/>
              </w:rPr>
            </w:pPr>
          </w:p>
        </w:tc>
        <w:tc>
          <w:tcPr>
            <w:tcW w:w="774" w:type="dxa"/>
            <w:vMerge w:val="continue"/>
            <w:vAlign w:val="center"/>
          </w:tcPr>
          <w:p>
            <w:pPr>
              <w:spacing w:line="560" w:lineRule="exact"/>
              <w:jc w:val="center"/>
              <w:rPr>
                <w:rFonts w:hint="eastAsia" w:ascii="仿宋_GB2312" w:hAnsi="黑体" w:eastAsia="仿宋_GB2312" w:cs="宋体"/>
                <w:sz w:val="22"/>
              </w:rPr>
            </w:pPr>
          </w:p>
        </w:tc>
        <w:tc>
          <w:tcPr>
            <w:tcW w:w="1122"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7"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2" w:hRule="atLeast"/>
          <w:jc w:val="center"/>
        </w:trPr>
        <w:tc>
          <w:tcPr>
            <w:tcW w:w="14340"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bookmarkStart w:id="0" w:name="_GoBack"/>
      <w:bookmarkEnd w:id="0"/>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创艺简标宋">
    <w:altName w:val="黑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微软雅黑">
    <w:panose1 w:val="020B0503020204020204"/>
    <w:charset w:val="86"/>
    <w:family w:val="script"/>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swiss"/>
    <w:pitch w:val="default"/>
    <w:sig w:usb0="E0002AFF" w:usb1="C0007843" w:usb2="00000009" w:usb3="00000000" w:csb0="400001FF" w:csb1="FFFF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楷体">
    <w:panose1 w:val="02010609060101010101"/>
    <w:charset w:val="86"/>
    <w:family w:val="swiss"/>
    <w:pitch w:val="default"/>
    <w:sig w:usb0="800002BF" w:usb1="38CF7CFA" w:usb2="00000016" w:usb3="00000000" w:csb0="00040001" w:csb1="00000000"/>
  </w:font>
  <w:font w:name="Courier New">
    <w:panose1 w:val="02070309020205020404"/>
    <w:charset w:val="00"/>
    <w:family w:val="roman"/>
    <w:pitch w:val="default"/>
    <w:sig w:usb0="E0002AFF" w:usb1="C0007843" w:usb2="00000009" w:usb3="00000000" w:csb0="400001FF" w:csb1="FFFF0000"/>
  </w:font>
  <w:font w:name="仿宋_GB2312">
    <w:altName w:val="仿宋"/>
    <w:panose1 w:val="02010609030101010101"/>
    <w:charset w:val="86"/>
    <w:family w:val="roman"/>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Arial">
    <w:panose1 w:val="020B0604020202020204"/>
    <w:charset w:val="00"/>
    <w:family w:val="modern"/>
    <w:pitch w:val="default"/>
    <w:sig w:usb0="E0002A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Courier New">
    <w:panose1 w:val="02070309020205020404"/>
    <w:charset w:val="00"/>
    <w:family w:val="decorative"/>
    <w:pitch w:val="default"/>
    <w:sig w:usb0="E0002AFF" w:usb1="C0007843" w:usb2="00000009" w:usb3="00000000" w:csb0="400001FF" w:csb1="FFFF0000"/>
  </w:font>
  <w:font w:name="楷体_GB2312">
    <w:altName w:val="楷体"/>
    <w:panose1 w:val="02010609030101010101"/>
    <w:charset w:val="86"/>
    <w:family w:val="decorative"/>
    <w:pitch w:val="default"/>
    <w:sig w:usb0="00000000" w:usb1="00000000" w:usb2="00000000" w:usb3="00000000" w:csb0="00040000" w:csb1="00000000"/>
  </w:font>
  <w:font w:name="Arial">
    <w:panose1 w:val="020B0604020202020204"/>
    <w:charset w:val="00"/>
    <w:family w:val="roman"/>
    <w:pitch w:val="default"/>
    <w:sig w:usb0="E0002AFF" w:usb1="C0007843" w:usb2="00000009" w:usb3="00000000" w:csb0="400001FF" w:csb1="FFFF0000"/>
  </w:font>
  <w:font w:name="楷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eiryo UI">
    <w:panose1 w:val="020B0604030504040204"/>
    <w:charset w:val="80"/>
    <w:family w:val="auto"/>
    <w:pitch w:val="default"/>
    <w:sig w:usb0="E00002FF" w:usb1="6AC7FFFF" w:usb2="08000012" w:usb3="00000000" w:csb0="6002009F" w:csb1="DFD70000"/>
  </w:font>
  <w:font w:name="Microsoft JhengHe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w:panose1 w:val="020B0604030504040204"/>
    <w:charset w:val="80"/>
    <w:family w:val="auto"/>
    <w:pitch w:val="default"/>
    <w:sig w:usb0="E00002FF" w:usb1="6AC7FFFF" w:usb2="08000012" w:usb3="00000000" w:csb0="6002009F" w:csb1="DFD70000"/>
  </w:font>
  <w:font w:name="Malgun Gothic">
    <w:panose1 w:val="020B0503020000020004"/>
    <w:charset w:val="81"/>
    <w:family w:val="auto"/>
    <w:pitch w:val="default"/>
    <w:sig w:usb0="9000002F" w:usb1="29D77CFB" w:usb2="00000012" w:usb3="00000000" w:csb0="00080001" w:csb1="0000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新宋体">
    <w:panose1 w:val="02010609030101010101"/>
    <w:charset w:val="86"/>
    <w:family w:val="auto"/>
    <w:pitch w:val="default"/>
    <w:sig w:usb0="00000003" w:usb1="288F0000" w:usb2="00000006" w:usb3="00000000" w:csb0="00040001" w:csb1="00000000"/>
  </w:font>
  <w:font w:name="微软雅黑 Light">
    <w:panose1 w:val="020B0502040204020203"/>
    <w:charset w:val="86"/>
    <w:family w:val="auto"/>
    <w:pitch w:val="default"/>
    <w:sig w:usb0="A00002BF" w:usb1="28CF0010" w:usb2="00000016" w:usb3="00000000" w:csb0="0004000F" w:csb1="00000000"/>
  </w:font>
  <w:font w:name="Calibri Light">
    <w:panose1 w:val="020F0302020204030204"/>
    <w:charset w:val="00"/>
    <w:family w:val="auto"/>
    <w:pitch w:val="default"/>
    <w:sig w:usb0="A00002EF" w:usb1="4000207B" w:usb2="00000000" w:usb3="00000000" w:csb0="2000019F" w:csb1="0000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方正兰亭超细黑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EA1583"/>
    <w:rsid w:val="0D8D34DD"/>
    <w:rsid w:val="0F5353C7"/>
    <w:rsid w:val="22125EF5"/>
    <w:rsid w:val="2E5511B5"/>
    <w:rsid w:val="30075FDB"/>
    <w:rsid w:val="423336BD"/>
    <w:rsid w:val="528200FF"/>
    <w:rsid w:val="621411AE"/>
    <w:rsid w:val="64412D0F"/>
    <w:rsid w:val="6577609A"/>
    <w:rsid w:val="6AEA158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2015-12-23T06:19:00Z</dcterms:created>
  <dc:creator>pc</dc:creator>
  <cp:lastModifiedBy>pc</cp:lastModifiedBy>
  <dcterms:modified xsi:type="dcterms:W3CDTF">2015-12-28T08:27:49Z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