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14AA9C7">
      <w:pPr>
        <w:spacing w:line="600" w:lineRule="exact"/>
        <w:ind w:left="0" w:leftChars="0" w:right="0" w:rightChars="0" w:firstLine="0" w:firstLineChars="0"/>
        <w:jc w:val="center"/>
        <w:rPr>
          <w:rFonts w:hint="eastAsia" w:ascii="楷体_GB2312" w:hAnsi="楷体_GB2312" w:eastAsia="楷体_GB2312"/>
          <w:b/>
          <w:bCs/>
          <w:sz w:val="40"/>
          <w:szCs w:val="32"/>
        </w:rPr>
      </w:pPr>
      <w:r>
        <w:rPr>
          <w:rFonts w:hint="eastAsia" w:ascii="方正小标宋简体" w:hAnsi="方正小标宋简体" w:eastAsia="方正小标宋简体" w:cs="方正小标宋简体"/>
          <w:b/>
          <w:bCs/>
          <w:sz w:val="44"/>
          <w:szCs w:val="44"/>
          <w:lang w:val="en-US" w:eastAsia="zh-CN"/>
        </w:rPr>
        <w:t>郸城县</w:t>
      </w:r>
      <w:r>
        <w:rPr>
          <w:rFonts w:hint="eastAsia" w:ascii="方正小标宋简体" w:hAnsi="方正小标宋简体" w:eastAsia="方正小标宋简体" w:cs="方正小标宋简体"/>
          <w:b/>
          <w:bCs/>
          <w:sz w:val="44"/>
          <w:szCs w:val="44"/>
        </w:rPr>
        <w:t>202</w:t>
      </w:r>
      <w:r>
        <w:rPr>
          <w:rFonts w:hint="eastAsia" w:ascii="方正小标宋简体" w:hAnsi="方正小标宋简体" w:eastAsia="方正小标宋简体" w:cs="方正小标宋简体"/>
          <w:b/>
          <w:bCs/>
          <w:sz w:val="44"/>
          <w:szCs w:val="44"/>
          <w:lang w:val="en-US" w:eastAsia="zh-CN"/>
        </w:rPr>
        <w:t>4</w:t>
      </w:r>
      <w:r>
        <w:rPr>
          <w:rFonts w:hint="eastAsia" w:ascii="方正小标宋简体" w:hAnsi="方正小标宋简体" w:eastAsia="方正小标宋简体" w:cs="方正小标宋简体"/>
          <w:b/>
          <w:bCs/>
          <w:sz w:val="44"/>
          <w:szCs w:val="44"/>
        </w:rPr>
        <w:t>年绩效工作开展情况说明</w:t>
      </w:r>
    </w:p>
    <w:p w14:paraId="0857FE77">
      <w:pPr>
        <w:bidi w:val="0"/>
        <w:rPr>
          <w:rFonts w:hint="eastAsia"/>
        </w:rPr>
      </w:pPr>
      <w:r>
        <w:rPr>
          <w:rFonts w:hint="eastAsia"/>
        </w:rPr>
        <w:t>为了全面推进我</w:t>
      </w:r>
      <w:r>
        <w:rPr>
          <w:rFonts w:hint="eastAsia"/>
          <w:lang w:val="en-US" w:eastAsia="zh-CN"/>
        </w:rPr>
        <w:t>县</w:t>
      </w:r>
      <w:r>
        <w:rPr>
          <w:rFonts w:hint="eastAsia"/>
        </w:rPr>
        <w:t>预算绩效管理工作，优化财政资源配置提高财政资金使用效益，按照《郸城县人民政府关于全面实施预算绩效管理的实施意见》（郸政〔2021〕22号）（以下简称“意见”）</w:t>
      </w:r>
      <w:r>
        <w:rPr>
          <w:rFonts w:hint="eastAsia"/>
          <w:lang w:val="en-US" w:eastAsia="zh-CN"/>
        </w:rPr>
        <w:t>等</w:t>
      </w:r>
      <w:r>
        <w:rPr>
          <w:rFonts w:hint="eastAsia"/>
        </w:rPr>
        <w:t>文件精神，202</w:t>
      </w:r>
      <w:r>
        <w:rPr>
          <w:rFonts w:hint="eastAsia"/>
          <w:lang w:val="en-US" w:eastAsia="zh-CN"/>
        </w:rPr>
        <w:t>4</w:t>
      </w:r>
      <w:r>
        <w:rPr>
          <w:rFonts w:hint="eastAsia"/>
        </w:rPr>
        <w:t>年我</w:t>
      </w:r>
      <w:r>
        <w:rPr>
          <w:rFonts w:hint="eastAsia"/>
          <w:lang w:val="en-US" w:eastAsia="zh-CN"/>
        </w:rPr>
        <w:t>县</w:t>
      </w:r>
      <w:r>
        <w:rPr>
          <w:rFonts w:hint="eastAsia"/>
        </w:rPr>
        <w:t>开展了预算绩效工作，现将开展情况汇报如下。</w:t>
      </w:r>
    </w:p>
    <w:p w14:paraId="3ECB610D">
      <w:pPr>
        <w:bidi w:val="0"/>
        <w:rPr>
          <w:rFonts w:hint="eastAsia"/>
        </w:rPr>
      </w:pPr>
      <w:r>
        <w:rPr>
          <w:rFonts w:hint="eastAsia"/>
        </w:rPr>
        <w:t>一、202</w:t>
      </w:r>
      <w:r>
        <w:rPr>
          <w:rFonts w:hint="eastAsia"/>
          <w:lang w:val="en-US" w:eastAsia="zh-CN"/>
        </w:rPr>
        <w:t>4</w:t>
      </w:r>
      <w:r>
        <w:rPr>
          <w:rFonts w:hint="eastAsia"/>
        </w:rPr>
        <w:t>年预算绩效管理工作开展情况</w:t>
      </w:r>
    </w:p>
    <w:p w14:paraId="442ADB49">
      <w:pPr>
        <w:bidi w:val="0"/>
        <w:rPr>
          <w:rFonts w:hint="eastAsia"/>
        </w:rPr>
      </w:pPr>
      <w:r>
        <w:rPr>
          <w:rFonts w:hint="eastAsia"/>
        </w:rPr>
        <w:t>近年来，我</w:t>
      </w:r>
      <w:r>
        <w:rPr>
          <w:rFonts w:hint="eastAsia"/>
          <w:lang w:val="en-US" w:eastAsia="zh-CN"/>
        </w:rPr>
        <w:t>县</w:t>
      </w:r>
      <w:r>
        <w:rPr>
          <w:rFonts w:hint="eastAsia"/>
        </w:rPr>
        <w:t>认真落实党中央、国务院关于全面实施预算绩效管理的决策部署，突出绩效导向、强调成本效益、落实主体责任，深入推进“全方位、全过程、全覆盖”的预算绩效管理，持续推动政府效能提高和财政资金聚力提效，为我</w:t>
      </w:r>
      <w:r>
        <w:rPr>
          <w:rFonts w:hint="eastAsia"/>
          <w:lang w:eastAsia="zh-CN"/>
        </w:rPr>
        <w:t>县</w:t>
      </w:r>
      <w:r>
        <w:rPr>
          <w:rFonts w:hint="eastAsia"/>
        </w:rPr>
        <w:t>经济高质量发展提供有效支撑。</w:t>
      </w:r>
      <w:r>
        <w:rPr>
          <w:rFonts w:hint="eastAsia"/>
          <w:lang w:val="en-US" w:eastAsia="zh-CN"/>
        </w:rPr>
        <w:t>县财政部门</w:t>
      </w:r>
      <w:r>
        <w:rPr>
          <w:rFonts w:hint="eastAsia"/>
        </w:rPr>
        <w:t>加强全程闭环管理，预算绩效管理链条更加完善。着力打造事前事中事后有机衔接的预算绩效管理链，基本实现预算决策有评估、预算编制有目标、预算执行有监控、预算完成有评价、评价结果有应用。</w:t>
      </w:r>
    </w:p>
    <w:p w14:paraId="07266451">
      <w:pPr>
        <w:bidi w:val="0"/>
        <w:rPr>
          <w:rFonts w:hint="eastAsia"/>
        </w:rPr>
      </w:pPr>
      <w:r>
        <w:rPr>
          <w:rFonts w:hint="eastAsia"/>
          <w:lang w:val="en-US" w:eastAsia="zh-CN"/>
        </w:rPr>
        <w:t>1.</w:t>
      </w:r>
      <w:r>
        <w:rPr>
          <w:rFonts w:hint="eastAsia"/>
        </w:rPr>
        <w:t>强化绩效目标管理。绩效目标编报实现全覆盖，引导约束作用逐步发挥，推动提升绩效目标编制质量。</w:t>
      </w:r>
      <w:r>
        <w:rPr>
          <w:rFonts w:hint="eastAsia"/>
          <w:lang w:val="en-US" w:eastAsia="zh-CN"/>
        </w:rPr>
        <w:t>县</w:t>
      </w:r>
      <w:r>
        <w:rPr>
          <w:rFonts w:hint="eastAsia"/>
        </w:rPr>
        <w:t>财政局组织开展绩效目标复核，202</w:t>
      </w:r>
      <w:r>
        <w:rPr>
          <w:rFonts w:hint="eastAsia"/>
          <w:lang w:val="en-US" w:eastAsia="zh-CN"/>
        </w:rPr>
        <w:t>4</w:t>
      </w:r>
      <w:r>
        <w:rPr>
          <w:rFonts w:hint="eastAsia"/>
        </w:rPr>
        <w:t>年完成</w:t>
      </w:r>
      <w:r>
        <w:rPr>
          <w:rFonts w:hint="eastAsia"/>
          <w:lang w:val="en-US" w:eastAsia="zh-CN"/>
        </w:rPr>
        <w:t>90</w:t>
      </w:r>
      <w:r>
        <w:rPr>
          <w:rFonts w:hint="eastAsia"/>
        </w:rPr>
        <w:t>个部门的</w:t>
      </w:r>
      <w:r>
        <w:rPr>
          <w:rFonts w:hint="eastAsia"/>
          <w:lang w:val="en-US" w:eastAsia="zh-CN"/>
        </w:rPr>
        <w:t>3763</w:t>
      </w:r>
      <w:r>
        <w:rPr>
          <w:rFonts w:hint="eastAsia"/>
        </w:rPr>
        <w:t>个项目绩效目标</w:t>
      </w:r>
      <w:r>
        <w:rPr>
          <w:rFonts w:hint="eastAsia"/>
          <w:lang w:val="en-US" w:eastAsia="zh-CN"/>
        </w:rPr>
        <w:t>填报</w:t>
      </w:r>
      <w:r>
        <w:rPr>
          <w:rFonts w:hint="eastAsia"/>
        </w:rPr>
        <w:t>，涉及财政资金</w:t>
      </w:r>
      <w:r>
        <w:rPr>
          <w:rFonts w:hint="eastAsia"/>
          <w:lang w:val="en-US" w:eastAsia="zh-CN"/>
        </w:rPr>
        <w:t>116.98</w:t>
      </w:r>
      <w:r>
        <w:rPr>
          <w:rFonts w:hint="eastAsia"/>
        </w:rPr>
        <w:t>亿元</w:t>
      </w:r>
      <w:bookmarkStart w:id="0" w:name="_GoBack"/>
      <w:bookmarkEnd w:id="0"/>
      <w:r>
        <w:rPr>
          <w:rFonts w:hint="eastAsia"/>
        </w:rPr>
        <w:t>，并组织审核预算项目绩效目标，对绩效目标审核通过项目进入预算申报下一环节，对于年中追加项目绩效目标，审核通过后建议纳入预算。</w:t>
      </w:r>
    </w:p>
    <w:p w14:paraId="14D57773">
      <w:pPr>
        <w:bidi w:val="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2.形成多层次评价体系。我县着力构建多层次绩效评价体系，首先实现了单位绩效自评全覆盖。将所有已编报绩效目标的2023年度项目、政策及部门整体支出纳入自评范围，覆盖“四本预算”及上级转移支付资金。全县预算部门均按要求对整体支出和项目支出开展了全面自评。我们通过集中培训、线上指导与现场辅导相结合的方式，确保各部门准确填报。截至6月初，已完成4812个项目的自评，涉及资金153.18亿元，自评完成率100%。为保障自评质量，我们随机抽取了5个部门整体和10个项目进行复核，复核结果为13个“优”、2个“良”。针对发现的问题，已督促相关单位限期整改并提交报告，所有单位均按时完成整改。同时，我县深入推进部门和财政重点评价。自2024年5月起，指导全县90个预算部门对其管理的重点项目开展绩效评价，优先选取重大改革发展及一般性项目，并计划以五年为周期实现部门重点评价全覆盖，要求年度评价数量不低于项目总数的20%。此外，县财政部门选取了5个重点项目和2个部门整体开展财政重点绩效评价，涉及资金总计28,465.82万元，具体包括郸城创业孵化园建设、府东路北延道路新建、农村危房改造、爱心消费券、大气污染防治专家服务等项目，以及县委党校、县政务服务和大数据管理局的部门整体支出。本次评价基于2023年度预算执行，并延伸考察跨年度项目的综合绩效。第三方评价结果显示，3个为“优”，4个为“良”。总体来看，被评价项目（部门）绩效目标明确，决策科学，管理规范，实施情况良好，基本达到了预期效果。</w:t>
      </w:r>
    </w:p>
    <w:p w14:paraId="4B376329">
      <w:pPr>
        <w:bidi w:val="0"/>
        <w:rPr>
          <w:rFonts w:hint="default"/>
          <w:lang w:val="en-US" w:eastAsia="zh-CN"/>
        </w:rPr>
      </w:pPr>
      <w:r>
        <w:rPr>
          <w:rFonts w:hint="eastAsia"/>
          <w:lang w:val="en-US" w:eastAsia="zh-CN"/>
        </w:rPr>
        <w:t>3.</w:t>
      </w:r>
      <w:r>
        <w:rPr>
          <w:rFonts w:hint="default"/>
          <w:lang w:val="en-US" w:eastAsia="zh-CN"/>
        </w:rPr>
        <w:t>加强绩效跟踪监控。按照绩效管理工作计划，10月份依托预算管理一体化系统，对全</w:t>
      </w:r>
      <w:r>
        <w:rPr>
          <w:rFonts w:hint="eastAsia"/>
          <w:lang w:val="en-US" w:eastAsia="zh-CN"/>
        </w:rPr>
        <w:t>县</w:t>
      </w:r>
      <w:r>
        <w:rPr>
          <w:rFonts w:hint="default"/>
          <w:lang w:val="en-US" w:eastAsia="zh-CN"/>
        </w:rPr>
        <w:t>1-</w:t>
      </w:r>
      <w:r>
        <w:rPr>
          <w:rFonts w:hint="eastAsia"/>
          <w:lang w:val="en-US" w:eastAsia="zh-CN"/>
        </w:rPr>
        <w:t>7</w:t>
      </w:r>
      <w:r>
        <w:rPr>
          <w:rFonts w:hint="default"/>
          <w:lang w:val="en-US" w:eastAsia="zh-CN"/>
        </w:rPr>
        <w:t>月项目预算执行情况和绩效目标完成情况开展</w:t>
      </w:r>
      <w:r>
        <w:rPr>
          <w:rFonts w:hint="eastAsia"/>
          <w:lang w:val="en-US" w:eastAsia="zh-CN"/>
        </w:rPr>
        <w:t>“</w:t>
      </w:r>
      <w:r>
        <w:rPr>
          <w:rFonts w:hint="default"/>
          <w:lang w:val="en-US" w:eastAsia="zh-CN"/>
        </w:rPr>
        <w:t>双监控</w:t>
      </w:r>
      <w:r>
        <w:rPr>
          <w:rFonts w:hint="eastAsia"/>
          <w:lang w:val="en-US" w:eastAsia="zh-CN"/>
        </w:rPr>
        <w:t>”</w:t>
      </w:r>
      <w:r>
        <w:rPr>
          <w:rFonts w:hint="default"/>
          <w:lang w:val="en-US" w:eastAsia="zh-CN"/>
        </w:rPr>
        <w:t>，共计下达部门整体监控</w:t>
      </w:r>
      <w:r>
        <w:rPr>
          <w:rFonts w:hint="eastAsia"/>
          <w:lang w:val="en-US" w:eastAsia="zh-CN"/>
        </w:rPr>
        <w:t>90</w:t>
      </w:r>
      <w:r>
        <w:rPr>
          <w:rFonts w:hint="default"/>
          <w:lang w:val="en-US" w:eastAsia="zh-CN"/>
        </w:rPr>
        <w:t>个，项目监控</w:t>
      </w:r>
      <w:r>
        <w:rPr>
          <w:rFonts w:hint="eastAsia"/>
          <w:lang w:val="en-US" w:eastAsia="zh-CN"/>
        </w:rPr>
        <w:t>1991</w:t>
      </w:r>
      <w:r>
        <w:rPr>
          <w:rFonts w:hint="default"/>
          <w:lang w:val="en-US" w:eastAsia="zh-CN"/>
        </w:rPr>
        <w:t>个，涉及资金</w:t>
      </w:r>
      <w:r>
        <w:rPr>
          <w:rFonts w:hint="eastAsia"/>
          <w:lang w:val="en-US" w:eastAsia="zh-CN"/>
        </w:rPr>
        <w:t>41.42亿</w:t>
      </w:r>
      <w:r>
        <w:rPr>
          <w:rFonts w:hint="default"/>
          <w:lang w:val="en-US" w:eastAsia="zh-CN"/>
        </w:rPr>
        <w:t>元。</w:t>
      </w:r>
      <w:r>
        <w:rPr>
          <w:rFonts w:hint="eastAsia"/>
          <w:lang w:val="en-US" w:eastAsia="zh-CN"/>
        </w:rPr>
        <w:t>监控结束后</w:t>
      </w:r>
      <w:r>
        <w:rPr>
          <w:rFonts w:hint="default"/>
          <w:lang w:val="en-US" w:eastAsia="zh-CN"/>
        </w:rPr>
        <w:t>对自主绩效监控发现的问题要督促部门及时纠正，确保绩效目标如期完成；对绩效监控发现存在严重问题或预计不能执行的项目要会同预算股、国库支付中心暂缓或停止预算拨款。</w:t>
      </w:r>
    </w:p>
    <w:p w14:paraId="7F6B3BD5">
      <w:pPr>
        <w:bidi w:val="0"/>
        <w:rPr>
          <w:rFonts w:hint="eastAsia"/>
        </w:rPr>
      </w:pPr>
      <w:r>
        <w:rPr>
          <w:rFonts w:hint="eastAsia"/>
          <w:lang w:val="en-US" w:eastAsia="zh-CN"/>
        </w:rPr>
        <w:t>二</w:t>
      </w:r>
      <w:r>
        <w:rPr>
          <w:rFonts w:hint="eastAsia"/>
        </w:rPr>
        <w:t>、存在问题</w:t>
      </w:r>
    </w:p>
    <w:p w14:paraId="1A1B49A3">
      <w:pPr>
        <w:bidi w:val="0"/>
        <w:rPr>
          <w:rFonts w:hint="eastAsia"/>
        </w:rPr>
      </w:pPr>
      <w:r>
        <w:rPr>
          <w:rFonts w:hint="eastAsia"/>
        </w:rPr>
        <w:t>当前，财政运行持续处于紧平衡状态，财政收支矛盾较以往进一步凸显，预算绩效管理的必要性更加突出。虽然近年来我</w:t>
      </w:r>
      <w:r>
        <w:rPr>
          <w:rFonts w:hint="eastAsia"/>
          <w:lang w:eastAsia="zh-CN"/>
        </w:rPr>
        <w:t>县</w:t>
      </w:r>
      <w:r>
        <w:rPr>
          <w:rFonts w:hint="eastAsia"/>
        </w:rPr>
        <w:t>预算绩效管理不断加强、改革持续深化，但是，我们也认识到，预算绩效管理工作还存在一些不足和薄弱环节，要在优化支出结构、提高财政资金效益、压减低效无效支出方面发挥更大作用，仍面临一些问题和挑战。</w:t>
      </w:r>
    </w:p>
    <w:p w14:paraId="2ED12167">
      <w:pPr>
        <w:bidi w:val="0"/>
        <w:rPr>
          <w:rFonts w:hint="eastAsia"/>
        </w:rPr>
      </w:pPr>
      <w:r>
        <w:rPr>
          <w:rFonts w:hint="eastAsia"/>
        </w:rPr>
        <w:t>一是预算部门绩效管理意识有待强化。有些预算部门预算绩效管理意识有待加强，财政资金使用中还存在不同程度的重投入、轻绩效问题。一些项目评估论证不够充分，超过实际需要和财政承受能力，制定过高公共服务标准，造成一定程度的功能冗余、政策放空、铺张浪费。</w:t>
      </w:r>
    </w:p>
    <w:p w14:paraId="0538ACFE">
      <w:pPr>
        <w:bidi w:val="0"/>
        <w:rPr>
          <w:rFonts w:hint="eastAsia"/>
        </w:rPr>
      </w:pPr>
      <w:r>
        <w:rPr>
          <w:rFonts w:hint="eastAsia"/>
        </w:rPr>
        <w:t>二是预算绩效管理科学性规范性有待提高。部分绩效指标设置不完整、核心指标弱化、指标值虚化等问题还比较突出，事前绩效评估的力度还不够。绩效评价主要聚焦评价产出和效益水平，对成本和投入的深度分析不够。</w:t>
      </w:r>
    </w:p>
    <w:p w14:paraId="4C8C62B6">
      <w:pPr>
        <w:bidi w:val="0"/>
        <w:rPr>
          <w:rFonts w:hint="eastAsia"/>
        </w:rPr>
      </w:pPr>
      <w:r>
        <w:rPr>
          <w:rFonts w:hint="eastAsia"/>
        </w:rPr>
        <w:t>三是预算绩效管理结果应用有待加强。预算和绩效管理“两张皮”现象仍然存在，“结果反馈、问题整改、绩效提升”的良性循环尚未真正形成，绩效管理结果与预算安排、政策调整挂钩机制还需进一步健全。绩效管理激励约束作用未充分有效发挥，绩效评价结果为政府治理决策提供的支撑还不够有力有效。</w:t>
      </w:r>
    </w:p>
    <w:p w14:paraId="2452F157">
      <w:pPr>
        <w:bidi w:val="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三、下一步工作打算</w:t>
      </w:r>
    </w:p>
    <w:p w14:paraId="041F694A">
      <w:pPr>
        <w:bidi w:val="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全面实施预算绩效管理改革任务重、难度大，需要持续推进，久久为功。下一步，我们将全面贯彻县委决策部署，在人大的指导和监督下，深化预算绩效管理改革，提升财政治理效能，推动经济社会高质量发展。</w:t>
      </w:r>
    </w:p>
    <w:p w14:paraId="54DB6D1D">
      <w:pPr>
        <w:bidi w:val="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一是进一步推进成本预算绩效管理改革。建立健全事前功能评估、成本定期分析、定额动态调整、预算优化安排机制。加大财政评估评审力度，深入论证项目功能水平是否与发展阶段、公众需求、财力许可相适应，从源头上避免目标过高、保障过头，增强财政可持续性。</w:t>
      </w:r>
    </w:p>
    <w:p w14:paraId="7A2C0C81">
      <w:pPr>
        <w:bidi w:val="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二是进一步提升预算绩效管理科学化和规范化水平。强化绩效目标管理，优化项目支出成本指标设置。完善绩效评价流程，加强对成本控制、服务标准、支出标准等方面的评价，提升绩效评价工作质效。加强财政政策全生命周期绩效管理，避免政策到期后简单延续、预算固化，推动财政政策资金定向精准高效使用。</w:t>
      </w:r>
    </w:p>
    <w:p w14:paraId="6434F83B">
      <w:pPr>
        <w:bidi w:val="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三是进一步强化预算绩效管理结果应用。结合年度预算编制与执行，健全绩效管理结果与预算安排、改进管理和完善政策的挂钩机制，充分体现奖优罚劣和激励导向。加强绩效结果应用情况跟踪，推进按时保质完成问题整改。积极主动接受人大绩效管理监督指导，加大绩效信息公开力度，更好回应社会关切，着力提高财政资源配置效率和使用效益。</w:t>
      </w:r>
    </w:p>
    <w:sectPr>
      <w:footerReference r:id="rId5" w:type="default"/>
      <w:pgSz w:w="11906" w:h="16838"/>
      <w:pgMar w:top="1928" w:right="1474" w:bottom="1247" w:left="1587" w:header="567" w:footer="1134" w:gutter="0"/>
      <w:pgNumType w:fmt="numberInDash" w:start="1"/>
      <w:cols w:space="0" w:num="1"/>
      <w:docGrid w:type="linesAndChars" w:linePitch="297" w:charSpace="-88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632"/>
      </w:pPr>
      <w:r>
        <w:separator/>
      </w:r>
    </w:p>
  </w:endnote>
  <w:endnote w:type="continuationSeparator" w:id="1">
    <w:p>
      <w:pPr>
        <w:spacing w:line="240" w:lineRule="auto"/>
        <w:ind w:firstLine="632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8"/>
    <w:family w:val="modern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Calibri Light">
    <w:panose1 w:val="020F0302020204030204"/>
    <w:charset w:val="00"/>
    <w:family w:val="auto"/>
    <w:pitch w:val="default"/>
    <w:sig w:usb0="E4002EFF" w:usb1="C000247B" w:usb2="00000009" w:usb3="00000000" w:csb0="200001FF" w:csb1="00000000"/>
  </w:font>
  <w:font w:name="方正粗黑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0CD85D5">
    <w:pPr>
      <w:pStyle w:val="4"/>
    </w:pPr>
    <w:r>
      <w:pict>
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>
          <v:path/>
          <v:fill on="f" focussize="0,0"/>
          <v:stroke on="f" weight="0.5pt"/>
          <v:imagedata o:title=""/>
          <o:lock v:ext="edit" aspectratio="f"/>
          <v:textbox inset="0mm,0mm,0mm,0mm" style="mso-fit-shape-to-text:t;">
            <w:txbxContent>
              <w:p w14:paraId="451FE378">
                <w:pPr>
                  <w:pStyle w:val="4"/>
                  <w:ind w:left="0" w:leftChars="0" w:right="0" w:rightChars="0" w:firstLine="0" w:firstLineChars="0"/>
                  <w:jc w:val="center"/>
                  <w:rPr>
                    <w:rFonts w:hint="eastAsia" w:ascii="宋体" w:hAnsi="宋体" w:eastAsia="宋体" w:cs="宋体"/>
                    <w:sz w:val="28"/>
                    <w:szCs w:val="28"/>
                  </w:rPr>
                </w:pPr>
                <w:r>
                  <w:rPr>
                    <w:rFonts w:hint="eastAsia" w:ascii="宋体" w:hAnsi="宋体" w:eastAsia="宋体" w:cs="宋体"/>
                    <w:sz w:val="28"/>
                    <w:szCs w:val="28"/>
                  </w:rPr>
                  <w:fldChar w:fldCharType="begin"/>
                </w:r>
                <w:r>
                  <w:rPr>
                    <w:rFonts w:hint="eastAsia" w:ascii="宋体" w:hAnsi="宋体" w:eastAsia="宋体" w:cs="宋体"/>
                    <w:sz w:val="28"/>
                    <w:szCs w:val="28"/>
                  </w:rPr>
                  <w:instrText xml:space="preserve"> PAGE  \* MERGEFORMAT </w:instrText>
                </w:r>
                <w:r>
                  <w:rPr>
                    <w:rFonts w:hint="eastAsia" w:ascii="宋体" w:hAnsi="宋体" w:eastAsia="宋体" w:cs="宋体"/>
                    <w:sz w:val="28"/>
                    <w:szCs w:val="28"/>
                  </w:rPr>
                  <w:fldChar w:fldCharType="separate"/>
                </w:r>
                <w:r>
                  <w:rPr>
                    <w:rFonts w:hint="eastAsia" w:ascii="宋体" w:hAnsi="宋体" w:eastAsia="宋体" w:cs="宋体"/>
                    <w:sz w:val="28"/>
                    <w:szCs w:val="28"/>
                  </w:rPr>
                  <w:t>1</w:t>
                </w:r>
                <w:r>
                  <w:rPr>
                    <w:rFonts w:hint="eastAsia" w:ascii="宋体" w:hAnsi="宋体" w:eastAsia="宋体" w:cs="宋体"/>
                    <w:sz w:val="28"/>
                    <w:szCs w:val="28"/>
                  </w:rPr>
                  <w:fldChar w:fldCharType="end"/>
                </w:r>
              </w:p>
            </w:txbxContent>
          </v:textbox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  <w:ind w:firstLine="632"/>
      </w:pPr>
      <w:r>
        <w:separator/>
      </w:r>
    </w:p>
  </w:footnote>
  <w:footnote w:type="continuationSeparator" w:id="1">
    <w:p>
      <w:pPr>
        <w:spacing w:line="240" w:lineRule="auto"/>
        <w:ind w:firstLine="632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0"/>
  <w:bordersDoNotSurroundFooter w:val="0"/>
  <w:documentProtection w:enforcement="0"/>
  <w:defaultTabStop w:val="420"/>
  <w:drawingGridHorizontalSpacing w:val="103"/>
  <w:drawingGridVerticalSpacing w:val="149"/>
  <w:displayHorizontalDrawingGridEvery w:val="1"/>
  <w:displayVerticalDrawingGridEvery w:val="1"/>
  <w:noPunctuationKerning w:val="1"/>
  <w:characterSpacingControl w:val="compressPunctuation"/>
  <w:hdrShapeDefaults>
    <o:shapelayout v:ext="edit">
      <o:idmap v:ext="edit" data="1"/>
    </o:shapelayout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2"/>
  </w:compat>
  <w:docVars>
    <w:docVar w:name="commondata" w:val="eyJoZGlkIjoiNzNhMzFlYTRiYWE1ODk3ZTdkZDZmYTQ3YjgwOTE0NzIifQ=="/>
  </w:docVars>
  <w:rsids>
    <w:rsidRoot w:val="016D5176"/>
    <w:rsid w:val="00023EF1"/>
    <w:rsid w:val="00067B33"/>
    <w:rsid w:val="000B2324"/>
    <w:rsid w:val="00152013"/>
    <w:rsid w:val="001D3277"/>
    <w:rsid w:val="003034F9"/>
    <w:rsid w:val="003521C4"/>
    <w:rsid w:val="003645B1"/>
    <w:rsid w:val="0037381E"/>
    <w:rsid w:val="003822C9"/>
    <w:rsid w:val="003A2024"/>
    <w:rsid w:val="0041211F"/>
    <w:rsid w:val="00463295"/>
    <w:rsid w:val="00513226"/>
    <w:rsid w:val="006E2A5D"/>
    <w:rsid w:val="00703281"/>
    <w:rsid w:val="00791512"/>
    <w:rsid w:val="007E2781"/>
    <w:rsid w:val="00867FFD"/>
    <w:rsid w:val="00880754"/>
    <w:rsid w:val="008B5B17"/>
    <w:rsid w:val="008E78D6"/>
    <w:rsid w:val="00A54CF1"/>
    <w:rsid w:val="00B33C29"/>
    <w:rsid w:val="00B95509"/>
    <w:rsid w:val="00C2418D"/>
    <w:rsid w:val="00C4473F"/>
    <w:rsid w:val="00C74907"/>
    <w:rsid w:val="00D3477B"/>
    <w:rsid w:val="00D42453"/>
    <w:rsid w:val="00D66B89"/>
    <w:rsid w:val="00D71C60"/>
    <w:rsid w:val="00E37DEB"/>
    <w:rsid w:val="00E854BF"/>
    <w:rsid w:val="00E931EB"/>
    <w:rsid w:val="00EA0CF5"/>
    <w:rsid w:val="016D5176"/>
    <w:rsid w:val="02AE1145"/>
    <w:rsid w:val="04131835"/>
    <w:rsid w:val="09396024"/>
    <w:rsid w:val="0A8235E3"/>
    <w:rsid w:val="0BED0F30"/>
    <w:rsid w:val="0CAE52C0"/>
    <w:rsid w:val="0CE963DF"/>
    <w:rsid w:val="0D48013C"/>
    <w:rsid w:val="0EB57A15"/>
    <w:rsid w:val="0EEF4FBF"/>
    <w:rsid w:val="113D0264"/>
    <w:rsid w:val="11E76422"/>
    <w:rsid w:val="131262FB"/>
    <w:rsid w:val="14373289"/>
    <w:rsid w:val="150622A5"/>
    <w:rsid w:val="18F15821"/>
    <w:rsid w:val="1A7F1C9B"/>
    <w:rsid w:val="1AF265C8"/>
    <w:rsid w:val="1CFA34AD"/>
    <w:rsid w:val="1CFE07B7"/>
    <w:rsid w:val="1DBA11EA"/>
    <w:rsid w:val="1E8E2D6C"/>
    <w:rsid w:val="200E19FD"/>
    <w:rsid w:val="201A79C2"/>
    <w:rsid w:val="20B25379"/>
    <w:rsid w:val="225463DC"/>
    <w:rsid w:val="22C97BAA"/>
    <w:rsid w:val="235D7560"/>
    <w:rsid w:val="23DB24A3"/>
    <w:rsid w:val="24E16D01"/>
    <w:rsid w:val="26DD00C8"/>
    <w:rsid w:val="26DE6762"/>
    <w:rsid w:val="293A76F5"/>
    <w:rsid w:val="29AE5D4B"/>
    <w:rsid w:val="29CF3279"/>
    <w:rsid w:val="2B623A44"/>
    <w:rsid w:val="2E3C37D2"/>
    <w:rsid w:val="2E5F7614"/>
    <w:rsid w:val="2FA554FB"/>
    <w:rsid w:val="2FB63264"/>
    <w:rsid w:val="30F63208"/>
    <w:rsid w:val="3179279B"/>
    <w:rsid w:val="32546D64"/>
    <w:rsid w:val="351C0FCD"/>
    <w:rsid w:val="35244F0F"/>
    <w:rsid w:val="35C5562E"/>
    <w:rsid w:val="38C32A67"/>
    <w:rsid w:val="3B6E70E8"/>
    <w:rsid w:val="3E5E3444"/>
    <w:rsid w:val="40181D19"/>
    <w:rsid w:val="40F462E2"/>
    <w:rsid w:val="41811C3E"/>
    <w:rsid w:val="42116A20"/>
    <w:rsid w:val="43AF64F0"/>
    <w:rsid w:val="467F03FC"/>
    <w:rsid w:val="471203CC"/>
    <w:rsid w:val="4947268A"/>
    <w:rsid w:val="494C2357"/>
    <w:rsid w:val="4E3E0B9C"/>
    <w:rsid w:val="508F1B83"/>
    <w:rsid w:val="50C27FCE"/>
    <w:rsid w:val="51A2261D"/>
    <w:rsid w:val="56980C00"/>
    <w:rsid w:val="575E22AF"/>
    <w:rsid w:val="5AF84E44"/>
    <w:rsid w:val="5D057F07"/>
    <w:rsid w:val="5D7A7E3F"/>
    <w:rsid w:val="5E224997"/>
    <w:rsid w:val="5EA66F82"/>
    <w:rsid w:val="5EF64B7B"/>
    <w:rsid w:val="5F157515"/>
    <w:rsid w:val="5F7B7347"/>
    <w:rsid w:val="5F9263C2"/>
    <w:rsid w:val="60951B0E"/>
    <w:rsid w:val="623C3B18"/>
    <w:rsid w:val="632751C5"/>
    <w:rsid w:val="63FC70D8"/>
    <w:rsid w:val="648D1ADE"/>
    <w:rsid w:val="64C17FD0"/>
    <w:rsid w:val="65BF5483"/>
    <w:rsid w:val="65E67027"/>
    <w:rsid w:val="661D47AB"/>
    <w:rsid w:val="66C6BEFA"/>
    <w:rsid w:val="67A4305B"/>
    <w:rsid w:val="681C700A"/>
    <w:rsid w:val="686B14DE"/>
    <w:rsid w:val="69407A67"/>
    <w:rsid w:val="69506F1E"/>
    <w:rsid w:val="6AEC1C54"/>
    <w:rsid w:val="6B1E16E2"/>
    <w:rsid w:val="6CB00DCF"/>
    <w:rsid w:val="6CB111FB"/>
    <w:rsid w:val="6D7F7DA0"/>
    <w:rsid w:val="6DE539C1"/>
    <w:rsid w:val="6F0B592B"/>
    <w:rsid w:val="71CD79BE"/>
    <w:rsid w:val="725D3AFC"/>
    <w:rsid w:val="730F56E1"/>
    <w:rsid w:val="73F5693B"/>
    <w:rsid w:val="770F3105"/>
    <w:rsid w:val="79517EDD"/>
    <w:rsid w:val="79DB5B04"/>
    <w:rsid w:val="79FFEED5"/>
    <w:rsid w:val="7A7F1F94"/>
    <w:rsid w:val="7B000E04"/>
    <w:rsid w:val="7B1D5512"/>
    <w:rsid w:val="7B7D2454"/>
    <w:rsid w:val="7D91475B"/>
    <w:rsid w:val="7DB06C4A"/>
    <w:rsid w:val="7DB4597A"/>
    <w:rsid w:val="7E622E2B"/>
    <w:rsid w:val="7F1740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semiHidden="0" w:name="heading 2"/>
    <w:lsdException w:qFormat="1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adjustRightInd w:val="0"/>
      <w:snapToGrid w:val="0"/>
      <w:spacing w:line="560" w:lineRule="exact"/>
      <w:ind w:firstLine="792" w:firstLineChars="200"/>
      <w:jc w:val="both"/>
    </w:pPr>
    <w:rPr>
      <w:rFonts w:ascii="Times New Roman" w:hAnsi="Times New Roman" w:eastAsia="仿宋_GB2312" w:cs="仿宋_GB2312"/>
      <w:sz w:val="32"/>
      <w:szCs w:val="32"/>
      <w:lang w:val="en-US" w:eastAsia="zh-CN" w:bidi="ar-SA"/>
    </w:rPr>
  </w:style>
  <w:style w:type="paragraph" w:styleId="2">
    <w:name w:val="heading 2"/>
    <w:basedOn w:val="1"/>
    <w:next w:val="1"/>
    <w:unhideWhenUsed/>
    <w:qFormat/>
    <w:uiPriority w:val="0"/>
    <w:pPr>
      <w:keepNext/>
      <w:keepLines/>
      <w:outlineLvl w:val="1"/>
    </w:pPr>
    <w:rPr>
      <w:rFonts w:ascii="Arial" w:hAnsi="Arial" w:cs="Arial"/>
      <w:b/>
      <w:sz w:val="32"/>
    </w:rPr>
  </w:style>
  <w:style w:type="paragraph" w:styleId="3">
    <w:name w:val="heading 3"/>
    <w:basedOn w:val="1"/>
    <w:next w:val="1"/>
    <w:unhideWhenUsed/>
    <w:qFormat/>
    <w:uiPriority w:val="0"/>
    <w:pPr>
      <w:keepNext/>
      <w:keepLines/>
      <w:outlineLvl w:val="2"/>
    </w:pPr>
    <w:rPr>
      <w:rFonts w:cs="宋体"/>
      <w:b/>
      <w:bCs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footer"/>
    <w:basedOn w:val="1"/>
    <w:link w:val="8"/>
    <w:qFormat/>
    <w:uiPriority w:val="0"/>
    <w:pPr>
      <w:tabs>
        <w:tab w:val="center" w:pos="4153"/>
        <w:tab w:val="right" w:pos="8306"/>
      </w:tabs>
      <w:snapToGrid w:val="0"/>
      <w:jc w:val="left"/>
    </w:pPr>
    <w:rPr>
      <w:rFonts w:ascii="仿宋_GB2312" w:hAnsi="仿宋_GB2312" w:eastAsia="仿宋_GB2312" w:cs="仿宋_GB2312"/>
      <w:sz w:val="24"/>
      <w:szCs w:val="24"/>
    </w:rPr>
  </w:style>
  <w:style w:type="paragraph" w:styleId="5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character" w:customStyle="1" w:styleId="8">
    <w:name w:val="页脚 Char"/>
    <w:basedOn w:val="7"/>
    <w:link w:val="4"/>
    <w:qFormat/>
    <w:uiPriority w:val="99"/>
    <w:rPr>
      <w:rFonts w:ascii="仿宋_GB2312" w:hAnsi="仿宋_GB2312" w:eastAsia="仿宋_GB2312" w:cs="仿宋_GB2312"/>
      <w:sz w:val="24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4</Pages>
  <Words>1405</Words>
  <Characters>1423</Characters>
  <Lines>8</Lines>
  <Paragraphs>2</Paragraphs>
  <TotalTime>25</TotalTime>
  <ScaleCrop>false</ScaleCrop>
  <LinksUpToDate>false</LinksUpToDate>
  <CharactersWithSpaces>1423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2021-10-09T00:59:00Z</dcterms:created>
  <dc:creator>岳艳婷</dc:creator>
  <cp:lastModifiedBy>鹏</cp:lastModifiedBy>
  <cp:lastPrinted>2021-10-22T00:24:00Z</cp:lastPrinted>
  <dcterms:modified xsi:type="dcterms:W3CDTF">2025-12-17T08:14:55Z</dcterms:modified>
  <cp:revision>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C127D18B5AAF4359B14F3691247CF397</vt:lpwstr>
  </property>
  <property fmtid="{D5CDD505-2E9C-101B-9397-08002B2CF9AE}" pid="4" name="KSOTemplateDocerSaveRecord">
    <vt:lpwstr>eyJoZGlkIjoiZTg5OGRiNWVlYjZmNjBlNjg5N2U5MTVjN2YwZWM1YTQiLCJ1c2VySWQiOiI2Njk2MDMzMjYifQ==</vt:lpwstr>
  </property>
</Properties>
</file>