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中共郸城县委宣传部部门决算</w:t>
      </w:r>
    </w:p>
    <w:p>
      <w:pPr>
        <w:keepNext w:val="0"/>
        <w:keepLines w:val="0"/>
        <w:pageBreakBefore w:val="0"/>
        <w:kinsoku/>
        <w:wordWrap/>
        <w:overflowPunct/>
        <w:topLinePunct w:val="0"/>
        <w:autoSpaceDE/>
        <w:autoSpaceDN/>
        <w:bidi w:val="0"/>
        <w:adjustRightInd/>
        <w:jc w:val="center"/>
        <w:rPr>
          <w:rFonts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overflowPunct/>
        <w:topLinePunct w:val="0"/>
        <w:autoSpaceDE/>
        <w:autoSpaceDN/>
        <w:bidi w:val="0"/>
        <w:adjustRightInd/>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overflowPunct/>
        <w:topLinePunct w:val="0"/>
        <w:autoSpaceDE/>
        <w:autoSpaceDN/>
        <w:bidi w:val="0"/>
        <w:adjustRightInd/>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overflowPunct/>
        <w:topLinePunct w:val="0"/>
        <w:autoSpaceDE/>
        <w:autoSpaceDN/>
        <w:bidi w:val="0"/>
        <w:adjustRightInd/>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中共郸城县委宣传部概况</w:t>
      </w:r>
    </w:p>
    <w:p>
      <w:pPr>
        <w:keepNext w:val="0"/>
        <w:keepLines w:val="0"/>
        <w:pageBreakBefore w:val="0"/>
        <w:numPr>
          <w:ilvl w:val="0"/>
          <w:numId w:val="1"/>
        </w:numPr>
        <w:kinsoku/>
        <w:wordWrap/>
        <w:overflowPunct/>
        <w:topLinePunct w:val="0"/>
        <w:autoSpaceDE/>
        <w:autoSpaceDN/>
        <w:bidi w:val="0"/>
        <w:adjustRightInd/>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部门职责</w:t>
      </w:r>
    </w:p>
    <w:p>
      <w:pPr>
        <w:keepNext w:val="0"/>
        <w:keepLines w:val="0"/>
        <w:pageBreakBefore w:val="0"/>
        <w:numPr>
          <w:ilvl w:val="0"/>
          <w:numId w:val="1"/>
        </w:numPr>
        <w:kinsoku/>
        <w:wordWrap/>
        <w:overflowPunct/>
        <w:topLinePunct w:val="0"/>
        <w:autoSpaceDE/>
        <w:autoSpaceDN/>
        <w:bidi w:val="0"/>
        <w:adjustRightInd/>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overflowPunct/>
        <w:topLinePunct w:val="0"/>
        <w:autoSpaceDE/>
        <w:autoSpaceDN/>
        <w:bidi w:val="0"/>
        <w:adjustRightInd/>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2024年度部门决算表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overflowPunct/>
        <w:topLinePunct w:val="0"/>
        <w:autoSpaceDE/>
        <w:autoSpaceDN/>
        <w:bidi w:val="0"/>
        <w:adjustRightInd/>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overflowPunct/>
        <w:topLinePunct w:val="0"/>
        <w:autoSpaceDE/>
        <w:autoSpaceDN/>
        <w:bidi w:val="0"/>
        <w:adjustRightInd/>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overflowPunct/>
        <w:topLinePunct w:val="0"/>
        <w:autoSpaceDE/>
        <w:autoSpaceDN/>
        <w:bidi w:val="0"/>
        <w:adjustRightInd/>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overflowPunct/>
        <w:topLinePunct w:val="0"/>
        <w:autoSpaceDE/>
        <w:autoSpaceDN/>
        <w:bidi w:val="0"/>
        <w:adjustRightInd/>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w:t>
      </w:r>
      <w:r>
        <w:rPr>
          <w:rFonts w:ascii="黑体" w:hAnsi="黑体" w:eastAsia="黑体" w:cs="黑体"/>
          <w:sz w:val="32"/>
          <w:szCs w:val="32"/>
          <w:lang w:val="en-US" w:eastAsia="zh-CN"/>
        </w:rPr>
        <w:t>部门</w:t>
      </w:r>
      <w:r>
        <w:rPr>
          <w:rFonts w:hint="eastAsia" w:ascii="黑体" w:hAnsi="黑体" w:eastAsia="黑体" w:cs="黑体"/>
          <w:sz w:val="32"/>
          <w:szCs w:val="32"/>
          <w:lang w:val="en-US" w:eastAsia="zh-CN"/>
        </w:rPr>
        <w:t>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overflowPunct/>
        <w:topLinePunct w:val="0"/>
        <w:autoSpaceDE/>
        <w:autoSpaceDN/>
        <w:bidi w:val="0"/>
        <w:adjustRightInd/>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overflowPunct/>
        <w:topLinePunct w:val="0"/>
        <w:autoSpaceDE/>
        <w:autoSpaceDN/>
        <w:bidi w:val="0"/>
        <w:adjustRightInd/>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overflowPunct/>
        <w:topLinePunct w:val="0"/>
        <w:autoSpaceDE/>
        <w:autoSpaceDN/>
        <w:bidi w:val="0"/>
        <w:adjustRightInd/>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kinsoku/>
        <w:wordWrap/>
        <w:overflowPunct/>
        <w:topLinePunct w:val="0"/>
        <w:autoSpaceDE/>
        <w:autoSpaceDN/>
        <w:bidi w:val="0"/>
        <w:adjustRightInd/>
        <w:jc w:val="left"/>
        <w:rPr>
          <w:rFonts w:hint="eastAsia" w:ascii="黑体" w:hAnsi="黑体" w:eastAsia="黑体" w:cs="黑体"/>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widowControl/>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中共郸城县委宣传部概况</w:t>
      </w:r>
    </w:p>
    <w:p>
      <w:pPr>
        <w:keepNext w:val="0"/>
        <w:keepLines w:val="0"/>
        <w:pageBreakBefore w:val="0"/>
        <w:widowControl/>
        <w:kinsoku/>
        <w:wordWrap/>
        <w:overflowPunct/>
        <w:topLinePunct w:val="0"/>
        <w:autoSpaceDE/>
        <w:autoSpaceDN/>
        <w:bidi w:val="0"/>
        <w:adjustRightInd/>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一、部门职责</w:t>
      </w:r>
    </w:p>
    <w:p>
      <w:pPr>
        <w:keepNext w:val="0"/>
        <w:keepLines w:val="0"/>
        <w:pageBreakBefore w:val="0"/>
        <w:widowControl/>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贯彻执行中央和省委、市委、县委有关意识形态方面的方针政策，组织协调意识形态工作责任制落实和日常监督检查，结合巡察工作开展专项检查。制订全县宣传文化、精神文明建设工作的总体规划并组织实施。</w:t>
      </w:r>
    </w:p>
    <w:p>
      <w:pPr>
        <w:keepNext w:val="0"/>
        <w:keepLines w:val="0"/>
        <w:pageBreakBefore w:val="0"/>
        <w:widowControl/>
        <w:shd w:val="clear" w:color="auto" w:fill="auto"/>
        <w:kinsoku/>
        <w:wordWrap/>
        <w:overflowPunct/>
        <w:topLinePunct w:val="0"/>
        <w:autoSpaceDE/>
        <w:autoSpaceDN/>
        <w:bidi w:val="0"/>
        <w:adjustRightInd/>
        <w:ind w:firstLine="64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（2）负责组织党的中心任务和路线、方针、政策的宣传，负责指导，组织和协调对全县经济社会发展战略、重大经济政策、重大经济活动的宣传；会同有关部门负责对群众进行思想教育工作。</w:t>
      </w:r>
    </w:p>
    <w:p>
      <w:pPr>
        <w:keepNext w:val="0"/>
        <w:keepLines w:val="0"/>
        <w:pageBreakBefore w:val="0"/>
        <w:widowControl/>
        <w:shd w:val="clear" w:color="auto" w:fill="auto"/>
        <w:kinsoku/>
        <w:wordWrap/>
        <w:overflowPunct/>
        <w:topLinePunct w:val="0"/>
        <w:autoSpaceDE/>
        <w:autoSpaceDN/>
        <w:bidi w:val="0"/>
        <w:adjustRightInd/>
        <w:ind w:firstLine="64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（3）统筹指导协调全县各级党组织理论教育、学习、宣传、研究工作。统筹指导全县哲学社会科学的规划发展。</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（4）统筹分析研判和引导社会舆论导向，统筹指导协调全县新闻单位工作，统筹协调融媒体的建设与管理，负责在郸新闻单位分支机构等的监督管理。组织全县突发公共事件应急新闻工作。</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5）贯彻落实党中央关于加强社会主义精神文明建设的方针政策和省委、市委、县委有关部署，负责全县精神文明建设工作的规划和组织实施；负责组织、协调、指导和监督全县各类群众性精神文明创建活动，评选表彰精神文明建设先进典型，总结推广先进经验。</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6）负责网络安全和信息化工作的顶层设计、总体布局、统筹协调、整体推进。贯彻落实中央、省委、市委关于网络安全和信息化工作的方针政策及县委、县政府部署。负责全县互联网信息内容管理，统筹协调组织互联网管理和舆论引导工作，维护网络意识形态安全。</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7)负责管理电影行政事务，指导监督全县电影工作，指导协调全县重大电影活动。对新闻出版、广播影视、文化艺术改革发展研究提出政策性建议，统筹指导协调文化体制改革和文化事业、文化产业及旅游业发展。</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（8）统筹协调全县对外宣传工作，指导协调有关部门研究拟定对外宣传工作政策措施和对外宣传事业发展规划。会同有关部门做好境外媒体记者在我县采访的服务引导工作。</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9）统筹协调组织开展新闻发布工作，承担县委新闻发布有关组织协调工作，负责县政府新闻发布组织实施工作，指导协调县政府各部门和各乡镇（办事处、高新区）的新闻发布工作，推动新闻发言人制度建设。</w:t>
      </w:r>
    </w:p>
    <w:p>
      <w:pPr>
        <w:keepNext w:val="0"/>
        <w:keepLines w:val="0"/>
        <w:pageBreakBefore w:val="0"/>
        <w:widowControl/>
        <w:kinsoku/>
        <w:wordWrap/>
        <w:overflowPunct/>
        <w:topLinePunct w:val="0"/>
        <w:autoSpaceDE/>
        <w:autoSpaceDN/>
        <w:bidi w:val="0"/>
        <w:adjustRightInd/>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中共郸城县委宣传部内设机构</w:t>
      </w:r>
      <w:r>
        <w:rPr>
          <w:rFonts w:hint="eastAsia" w:ascii="仿宋_GB2312" w:hAnsi="宋体" w:eastAsia="仿宋_GB2312" w:cs="Courier New"/>
          <w:kern w:val="0"/>
          <w:sz w:val="32"/>
          <w:szCs w:val="32"/>
          <w:lang w:val="en-US" w:eastAsia="zh-CN"/>
        </w:rPr>
        <w:t>9</w:t>
      </w:r>
      <w:r>
        <w:rPr>
          <w:rFonts w:hint="eastAsia" w:ascii="仿宋" w:hAnsi="仿宋" w:eastAsia="仿宋" w:cs="仿宋"/>
          <w:kern w:val="0"/>
          <w:sz w:val="32"/>
          <w:szCs w:val="32"/>
          <w:lang w:val="en-US" w:eastAsia="zh-CN"/>
        </w:rPr>
        <w:t>个,包括：</w:t>
      </w:r>
      <w:r>
        <w:rPr>
          <w:rFonts w:hint="eastAsia" w:ascii="仿宋_GB2312" w:hAnsi="宋体" w:eastAsia="仿宋_GB2312" w:cs="Courier New"/>
          <w:kern w:val="0"/>
          <w:sz w:val="32"/>
          <w:szCs w:val="32"/>
          <w:lang w:val="en-US" w:eastAsia="zh-CN"/>
        </w:rPr>
        <w:t>办公室、新闻宣传办公室、宣传教育办公室、理论和意识形态工作办公室、文化文艺办公室、对外宣传办公室、互联网信息办公室、出版和电影管理办公室、精神文明建设办公室。</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从决算单位构成看，中共郸城县委宣传部部门决算为本级决算。  </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 纳入本部门2024年度部门决算编制范围的单位共一个：</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中共郸城县委宣传部本级，无二级决算单位。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2024年度部门决算表</w:t>
      </w: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部门：中共郸城县委宣传部</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5412"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6420"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收入</w:t>
            </w:r>
          </w:p>
        </w:tc>
        <w:tc>
          <w:tcPr>
            <w:tcW w:w="6404"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一、一般公共预算财政拨款收入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190.91</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一、一般公共服务支出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31</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161.13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二、政府性基金预算财政拨款收入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33.00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二、外交支出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32</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三、国有资本经营预算财政拨款收入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三、国防支出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33</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四、上级补助收入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四、公共安全支出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五、事业收入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五、教育支出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35</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六、经营收入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六、科学技术支出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36</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七、附属单位上缴收入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七、文化旅游体育与传媒支出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37</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33.00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八、其他收入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八、社会保障和就业支出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38</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17.38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九、卫生健康支出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39</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5.56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十、节能环保支出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40</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十一、城乡社区支出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41</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12</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十二、农林水支出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42</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十三、交通运输支出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43</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十四、资源勘探工业信息等支出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44</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15</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十五、商业服务业等支出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45</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十六、金融支出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46</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十七、援助其他地区支出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47</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十八、自然资源海洋气象等支出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48</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19</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十九、住房保障支出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49</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6.84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二十、粮油物资储备支出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21</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二十一、国有资本经营预算支出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51</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二十二、灾害防治及应急管理支出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52</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23</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二十三、其他支出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53</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二十四、债务还本支出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54</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二十五、债务付息支出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55</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二十六、抗疫特别国债安排的支出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56</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本年收入合计</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27</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223.91</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本年支出合计</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57</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223.91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使用非财政拨款结余（含专用结余）</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28</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结余分配</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58</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年初结转和结余</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29</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年末结转和结余</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59</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30</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223.91</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60</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223.91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12824" w:type="dxa"/>
            <w:gridSpan w:val="6"/>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注：本表反映本年度的总收支和年末结转结余情况。本表金额转换为万元时，因四舍五入可能存在尾差。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部门：中共郸城县委宣传部</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3513"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项目</w:t>
            </w:r>
          </w:p>
        </w:tc>
        <w:tc>
          <w:tcPr>
            <w:tcW w:w="8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本年收入合计</w:t>
            </w:r>
          </w:p>
        </w:tc>
        <w:tc>
          <w:tcPr>
            <w:tcW w:w="8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财政拨款收入</w:t>
            </w:r>
          </w:p>
        </w:tc>
        <w:tc>
          <w:tcPr>
            <w:tcW w:w="8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上级补助收入</w:t>
            </w:r>
          </w:p>
        </w:tc>
        <w:tc>
          <w:tcPr>
            <w:tcW w:w="8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事业收入</w:t>
            </w:r>
          </w:p>
        </w:tc>
        <w:tc>
          <w:tcPr>
            <w:tcW w:w="8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经营收入</w:t>
            </w:r>
          </w:p>
        </w:tc>
        <w:tc>
          <w:tcPr>
            <w:tcW w:w="8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附属单位上缴收入</w:t>
            </w:r>
          </w:p>
        </w:tc>
        <w:tc>
          <w:tcPr>
            <w:tcW w:w="846"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其他收入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功能分类</w:t>
            </w:r>
          </w:p>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科目编码</w:t>
            </w:r>
          </w:p>
        </w:tc>
        <w:tc>
          <w:tcPr>
            <w:tcW w:w="24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科目名称</w:t>
            </w: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栏次</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合计</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223.91</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223.91</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一般公共服务支出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161.13</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161.13</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20133</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宣传事务</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161.13</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161.13</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2013301</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行政运行</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161.13</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161.13</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207</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文化旅游体育与传媒支出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33.00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33.00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20707</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国家电影事业发展专项资金安排的支出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33.00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33.00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2070702</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资助影院建设</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33.00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33.00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社会保障和就业支出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17.38</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17.38</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行政事业单位养老支出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13.90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13.90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2080505</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机关事业单位基本养老保险缴费支出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13.90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13.90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20899</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其他社会保障和就业支出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3.48</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3.48</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2089999</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其他社会保障和就业支出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3.48</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3.48</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卫生健康支出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5.56</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5.56</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行政事业单位医疗</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5.56</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5.56</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2101101</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行政单位医疗</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5.56</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5.56</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住房保障支出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6.84</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6.84</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22102</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住房改革支出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6.84</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6.84</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2210201</w:t>
            </w:r>
          </w:p>
        </w:tc>
        <w:tc>
          <w:tcPr>
            <w:tcW w:w="24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住房公积金</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6.84</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6.84</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9026" w:type="dxa"/>
            <w:gridSpan w:val="9"/>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注：本表反映本年度取得的各项收入情况。本表金额转换为万元时，因四舍五入可能存在尾差。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部门：中共郸城县委宣传部</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3513"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9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本年支出合计</w:t>
            </w:r>
          </w:p>
        </w:tc>
        <w:tc>
          <w:tcPr>
            <w:tcW w:w="9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基本支出</w:t>
            </w:r>
          </w:p>
        </w:tc>
        <w:tc>
          <w:tcPr>
            <w:tcW w:w="9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项目支出</w:t>
            </w:r>
          </w:p>
        </w:tc>
        <w:tc>
          <w:tcPr>
            <w:tcW w:w="9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上缴上级支出</w:t>
            </w:r>
          </w:p>
        </w:tc>
        <w:tc>
          <w:tcPr>
            <w:tcW w:w="9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经营支出</w:t>
            </w:r>
          </w:p>
        </w:tc>
        <w:tc>
          <w:tcPr>
            <w:tcW w:w="846"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对附属单位补助支出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84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223.91</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190.91</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一般公共服务支出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161.13</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161.13</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20133</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宣传事务</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161.13</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161.13</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2013301</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行政运行</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161.13</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161.13</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207</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文化旅游体育与传媒支出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20707</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国家电影事业发展专项资金安排的支出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2070702</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资助影院建设</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社会保障和就业支出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17.38</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17.38</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行政事业单位养老支出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13.90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13.90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2080505</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机关事业单位基本养老保险缴费支出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13.90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13.90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3.48</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3.48</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2089999</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3.48</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3.48</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卫生健康支出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5.56</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5.56</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行政事业单位医疗</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5.56</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5.56</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2101101</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行政单位医疗</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5.56</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5.56</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住房保障支出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6.84</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6.84</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住房改革支出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6.84</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6.84</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2210201</w:t>
            </w:r>
          </w:p>
        </w:tc>
        <w:tc>
          <w:tcPr>
            <w:tcW w:w="28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住房公积金</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6.84</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6.84</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9026" w:type="dxa"/>
            <w:gridSpan w:val="8"/>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注：本表反映本年度各项支出情况。本表金额转换为万元时，因四舍五入可能存在尾差。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部门：中共郸城县委宣传部</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4440"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收     入</w:t>
            </w:r>
          </w:p>
        </w:tc>
        <w:tc>
          <w:tcPr>
            <w:tcW w:w="8384" w:type="dxa"/>
            <w:gridSpan w:val="6"/>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支     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19" w:hRule="exact"/>
          <w:jc w:val="center"/>
        </w:trPr>
        <w:tc>
          <w:tcPr>
            <w:tcW w:w="26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金额</w:t>
            </w:r>
          </w:p>
        </w:tc>
        <w:tc>
          <w:tcPr>
            <w:tcW w:w="26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13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一般公共预算财政拨款</w:t>
            </w:r>
          </w:p>
        </w:tc>
        <w:tc>
          <w:tcPr>
            <w:tcW w:w="13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政府性基金预算财政拨款</w:t>
            </w:r>
          </w:p>
        </w:tc>
        <w:tc>
          <w:tcPr>
            <w:tcW w:w="1344"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国有资本经营预算财政拨款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65" w:hRule="exact"/>
          <w:jc w:val="center"/>
        </w:trPr>
        <w:tc>
          <w:tcPr>
            <w:tcW w:w="26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44"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一、一般公共预算财政拨款</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190.91</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一、一般公共服务支出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161.13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161.13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二、政府性基金预算财政拨款</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33.00</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二、外交支出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三、国有资本经营预算财政拨款</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三、国防支出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四、公共安全支出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五、教育支出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六、科学技术支出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七、文化旅游体育与传媒支出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八、社会保障和就业支出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17.38</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17.38</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九、卫生健康支出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5.56</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5.56</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十、节能环保支出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42</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十一、城乡社区支出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十二、农林水支出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十三、交通运输支出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十四、资源勘探工业信息等支出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十五、商业服务业等支出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十六、金融支出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十七、援助其他地区支出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十八、自然资源海洋气象等支出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十九、住房保障支出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6.84</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6.84</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二十、粮油物资储备支出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二十一、国有资本经营预算支出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二十二、灾害防治及应急管理支出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二十三、其他支出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二十四、债务还本支出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二十五、债务付息支出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二十六、抗疫特别国债安排的支出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58</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本年收入合计</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223.91</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本年支出合计</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223.91</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190.91</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年初财政拨款结转和结余</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年末财政拨款结转和结余</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一般公共预算财政拨款</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44"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政府性基金预算财政拨款</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44"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国有资本经营预算财政拨款</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44"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223.91</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223.91</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190.91</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12824" w:type="dxa"/>
            <w:gridSpan w:val="9"/>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部门：中共郸城县委宣传部</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2024年度</w:t>
            </w:r>
          </w:p>
        </w:tc>
        <w:tc>
          <w:tcPr>
            <w:tcW w:w="3513"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w:t>
            </w:r>
          </w:p>
        </w:tc>
        <w:tc>
          <w:tcPr>
            <w:tcW w:w="4306"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功能分类</w:t>
            </w:r>
          </w:p>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科目编码</w:t>
            </w:r>
          </w:p>
        </w:tc>
        <w:tc>
          <w:tcPr>
            <w:tcW w:w="37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科目名称</w:t>
            </w:r>
          </w:p>
        </w:tc>
        <w:tc>
          <w:tcPr>
            <w:tcW w:w="144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小计</w:t>
            </w:r>
          </w:p>
        </w:tc>
        <w:tc>
          <w:tcPr>
            <w:tcW w:w="144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基本支出</w:t>
            </w:r>
          </w:p>
        </w:tc>
        <w:tc>
          <w:tcPr>
            <w:tcW w:w="1426"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8" w:hRule="exact"/>
          <w:jc w:val="center"/>
        </w:trPr>
        <w:tc>
          <w:tcPr>
            <w:tcW w:w="9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栏次</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合计</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190.91</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190.91</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一般公共服务支出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161.13</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161.13</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20133</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宣传事务</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161.13</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161.13</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2013301</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行政运行</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161.13</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161.13</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社会保障和就业支出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17.38</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17.38</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行政事业单位养老支出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13.90</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13.90</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2080505</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机关事业单位基本养老保险缴费支出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13.90</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13.90</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3.48</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3.48</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2089999</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3.48</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3.48</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卫生健康支出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5.56</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5.56</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行政事业单位医疗</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5.56</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5.56</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2101101</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行政单位医疗</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5.56</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5.56</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住房保障支出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6.84</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6.84</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住房改革支出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6.84</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6.84</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2210201</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住房公积金</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6.84</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6.84</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026" w:type="dxa"/>
            <w:gridSpan w:val="5"/>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注：本表反映本年度一般公共预算财政拨款支出情况。本表金额转换为万元时，因四舍五入可能存在尾差。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overflowPunct/>
        <w:topLinePunct w:val="0"/>
        <w:autoSpaceDE/>
        <w:autoSpaceDN/>
        <w:bidi w:val="0"/>
        <w:adjustRightInd/>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部门：中共郸城县委宣传部</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4140"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w:t>
            </w:r>
          </w:p>
        </w:tc>
        <w:tc>
          <w:tcPr>
            <w:tcW w:w="8684" w:type="dxa"/>
            <w:gridSpan w:val="6"/>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7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4"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7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64"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工资福利支出</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121.50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商品和服务支出</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69.41</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债务利息及费用支出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基本工资</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59.96</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16.17</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30701</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国内债务付息</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30102</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津贴补贴</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16.81</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30202</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印刷费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13.10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30702</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国外债务付息</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30103</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奖金</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14.95</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30203</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咨询费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资本性支出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30106</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伙食补助费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30204</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手续费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31001</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房屋建筑物购建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30107</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绩效工资</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30205</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水费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31002</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办公设备购置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30108</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机关事业单位基本养老保险缴费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13.90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30206</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电费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31003</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专用设备购置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职业年金缴费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30207</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邮电费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1.52</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31005</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基础设施建设</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30110</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职工基本医疗保险缴费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5.56</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30208</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取暖费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31006</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大型修缮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公务员医疗补助缴费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物业管理费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0.67</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31007</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信息网络及软件购置更新</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30112</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其他社会保障缴费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3.48</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差旅费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3.78</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31008</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物资储备</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30113</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住房公积金</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6.84</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30212</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因公出国（境）费用</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31009</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土地补偿</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30114</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30213</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维修（护）费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4.18</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31010</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安置补助</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30199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其他工资福利支出</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30214</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租赁费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0.47</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31011</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地上附着物和青苗补偿</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对个人和家庭的补助</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30215</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会议费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31012</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拆迁补偿</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离休费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30216</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培训费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31013</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公务用车购置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30302</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退休费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30217</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公务接待费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31019</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其他交通工具购置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30303</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退职（役）费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30218</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专用材料费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2.91</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31021</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文物和陈列品购置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30304</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抚恤金</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30224</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被装购置费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31022</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无形资产购置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30305</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生活补助</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30225</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专用燃料费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31099</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其他资本性支出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30306</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救济费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30226</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劳务费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其他支出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30307</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医疗费补助</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30227</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委托业务费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15.49</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39907</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国家赔偿费用支出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30308</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助学金</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30228</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工会经费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39908</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对民间非营利组织和群众性自治组织补贴</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奖励金</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福利费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39909</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经常性赠与</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30310</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个人农业生产补贴</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公务用车运行维护费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39910</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资本性赠与</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代缴社会保险费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其他交通费用</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10.69</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39999</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其他支出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30399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其他对个人和家庭的补助</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30240</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税金及附加费用</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7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64"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6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30299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其他商品和服务支出</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0.42</w:t>
            </w:r>
          </w:p>
        </w:tc>
        <w:tc>
          <w:tcPr>
            <w:tcW w:w="8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7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964"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318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人员经费合计</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121.50</w:t>
            </w:r>
          </w:p>
        </w:tc>
        <w:tc>
          <w:tcPr>
            <w:tcW w:w="7720" w:type="dxa"/>
            <w:gridSpan w:val="5"/>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公用经费合计</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69.41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12824" w:type="dxa"/>
            <w:gridSpan w:val="9"/>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注：本表反映本年度一般公共预算财政拨款基本支出明细情况。本表金额转换为万元时，因四舍五入可能存在尾差。</w:t>
            </w:r>
          </w:p>
        </w:tc>
      </w:tr>
    </w:tbl>
    <w:p>
      <w:pPr>
        <w:keepNext w:val="0"/>
        <w:keepLines w:val="0"/>
        <w:pageBreakBefore w:val="0"/>
        <w:widowControl/>
        <w:kinsoku/>
        <w:wordWrap/>
        <w:overflowPunct/>
        <w:topLinePunct w:val="0"/>
        <w:autoSpaceDE/>
        <w:autoSpaceDN/>
        <w:bidi w:val="0"/>
        <w:adjustRightInd/>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overflowPunct/>
        <w:topLinePunct w:val="0"/>
        <w:autoSpaceDE/>
        <w:autoSpaceDN/>
        <w:bidi w:val="0"/>
        <w:adjustRightInd/>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部门：中共郸城县委宣传部</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2024年度</w:t>
            </w:r>
          </w:p>
        </w:tc>
        <w:tc>
          <w:tcPr>
            <w:tcW w:w="5979"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w:t>
            </w:r>
          </w:p>
        </w:tc>
        <w:tc>
          <w:tcPr>
            <w:tcW w:w="1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年初结转和结余</w:t>
            </w:r>
          </w:p>
        </w:tc>
        <w:tc>
          <w:tcPr>
            <w:tcW w:w="1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本年收入</w:t>
            </w:r>
          </w:p>
        </w:tc>
        <w:tc>
          <w:tcPr>
            <w:tcW w:w="4140"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本年支出</w:t>
            </w:r>
          </w:p>
        </w:tc>
        <w:tc>
          <w:tcPr>
            <w:tcW w:w="135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年末结转和结余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功能分类</w:t>
            </w:r>
          </w:p>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科目编码</w:t>
            </w:r>
          </w:p>
        </w:tc>
        <w:tc>
          <w:tcPr>
            <w:tcW w:w="4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科目名称</w:t>
            </w: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小计</w:t>
            </w:r>
          </w:p>
        </w:tc>
        <w:tc>
          <w:tcPr>
            <w:tcW w:w="1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基本支出</w:t>
            </w:r>
          </w:p>
        </w:tc>
        <w:tc>
          <w:tcPr>
            <w:tcW w:w="1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项目支出</w:t>
            </w:r>
          </w:p>
        </w:tc>
        <w:tc>
          <w:tcPr>
            <w:tcW w:w="1358"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栏次</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4</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5</w:t>
            </w:r>
          </w:p>
        </w:tc>
        <w:tc>
          <w:tcPr>
            <w:tcW w:w="1358"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合计</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33.00</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33.00</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33.00</w:t>
            </w:r>
          </w:p>
        </w:tc>
        <w:tc>
          <w:tcPr>
            <w:tcW w:w="1358"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207</w:t>
            </w:r>
          </w:p>
        </w:tc>
        <w:tc>
          <w:tcPr>
            <w:tcW w:w="4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文化旅游体育与传媒支出</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33.00</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33.00</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33.00</w:t>
            </w:r>
          </w:p>
        </w:tc>
        <w:tc>
          <w:tcPr>
            <w:tcW w:w="1358"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20707</w:t>
            </w:r>
          </w:p>
        </w:tc>
        <w:tc>
          <w:tcPr>
            <w:tcW w:w="4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国家电影事业发展专项资金安排的支出</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33.00</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33.00</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33.00</w:t>
            </w:r>
          </w:p>
        </w:tc>
        <w:tc>
          <w:tcPr>
            <w:tcW w:w="1358"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2070702</w:t>
            </w:r>
          </w:p>
        </w:tc>
        <w:tc>
          <w:tcPr>
            <w:tcW w:w="4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资助影院建设</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33.00</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33.00</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33.00</w:t>
            </w:r>
          </w:p>
        </w:tc>
        <w:tc>
          <w:tcPr>
            <w:tcW w:w="1358"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958" w:type="dxa"/>
            <w:gridSpan w:val="8"/>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注：本表反映本年度政府性基金预算财政拨款收入、支出及结转和结余情况。</w:t>
            </w:r>
          </w:p>
        </w:tc>
      </w:tr>
    </w:tbl>
    <w:p>
      <w:pPr>
        <w:keepNext w:val="0"/>
        <w:keepLines w:val="0"/>
        <w:pageBreakBefore w:val="0"/>
        <w:kinsoku/>
        <w:wordWrap/>
        <w:overflowPunct/>
        <w:topLinePunct w:val="0"/>
        <w:autoSpaceDE/>
        <w:autoSpaceDN/>
        <w:bidi w:val="0"/>
        <w:adjustRightInd/>
        <w:jc w:val="both"/>
        <w:rPr>
          <w:lang w:val="en-US" w:eastAsia="zh-CN"/>
        </w:rPr>
        <w:sectPr>
          <w:pgSz w:w="16838" w:h="11906" w:orient="landscape"/>
          <w:pgMar w:top="1800" w:right="1440" w:bottom="1800" w:left="1440" w:header="720" w:footer="720" w:gutter="0"/>
          <w:pgNumType w:fmt="numberInDash"/>
          <w:cols w:space="720" w:num="1"/>
          <w:docGrid w:type="lines" w:linePitch="312" w:charSpace="0"/>
        </w:sectPr>
      </w:pPr>
    </w:p>
    <w:p>
      <w:pPr>
        <w:keepNext w:val="0"/>
        <w:keepLines w:val="0"/>
        <w:pageBreakBefore w:val="0"/>
        <w:widowControl/>
        <w:kinsoku/>
        <w:wordWrap/>
        <w:overflowPunct/>
        <w:topLinePunct w:val="0"/>
        <w:autoSpaceDE/>
        <w:autoSpaceDN/>
        <w:bidi w:val="0"/>
        <w:adjustRightInd/>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部门：中共郸城县委宣传部</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2024年度</w:t>
            </w:r>
          </w:p>
        </w:tc>
        <w:tc>
          <w:tcPr>
            <w:tcW w:w="5979"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w:t>
            </w:r>
          </w:p>
        </w:tc>
        <w:tc>
          <w:tcPr>
            <w:tcW w:w="6518"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科目代码</w:t>
            </w:r>
          </w:p>
        </w:tc>
        <w:tc>
          <w:tcPr>
            <w:tcW w:w="55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科目名称</w:t>
            </w:r>
          </w:p>
        </w:tc>
        <w:tc>
          <w:tcPr>
            <w:tcW w:w="21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基本支出</w:t>
            </w:r>
          </w:p>
        </w:tc>
        <w:tc>
          <w:tcPr>
            <w:tcW w:w="215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栏次</w:t>
            </w:r>
          </w:p>
        </w:tc>
        <w:tc>
          <w:tcPr>
            <w:tcW w:w="21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1</w:t>
            </w:r>
          </w:p>
        </w:tc>
        <w:tc>
          <w:tcPr>
            <w:tcW w:w="21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2</w:t>
            </w:r>
          </w:p>
        </w:tc>
        <w:tc>
          <w:tcPr>
            <w:tcW w:w="2158"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8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58"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5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58"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3958" w:type="dxa"/>
            <w:gridSpan w:val="5"/>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注：本表反映本年度国有资本经营预算财政拨款支出情况。</w:t>
            </w:r>
          </w:p>
        </w:tc>
      </w:tr>
    </w:tbl>
    <w:p>
      <w:pPr>
        <w:keepNext w:val="0"/>
        <w:keepLines w:val="0"/>
        <w:pageBreakBefore w:val="0"/>
        <w:widowControl/>
        <w:kinsoku/>
        <w:wordWrap/>
        <w:overflowPunct/>
        <w:topLinePunct w:val="0"/>
        <w:autoSpaceDE/>
        <w:autoSpaceDN/>
        <w:bidi w:val="0"/>
        <w:adjustRightInd/>
        <w:snapToGrid/>
        <w:ind w:left="84" w:leftChars="4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说明：我部门没有使用国有资本经营预算安排的支出，故本表无数据。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overflowPunct/>
        <w:topLinePunct w:val="0"/>
        <w:autoSpaceDE/>
        <w:autoSpaceDN/>
        <w:bidi w:val="0"/>
        <w:adjustRightInd/>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部门：中共郸城县委宣传部</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2024年度</w:t>
            </w:r>
          </w:p>
        </w:tc>
        <w:tc>
          <w:tcPr>
            <w:tcW w:w="5979"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6960" w:type="dxa"/>
            <w:gridSpan w:val="6"/>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预算数</w:t>
            </w:r>
          </w:p>
        </w:tc>
        <w:tc>
          <w:tcPr>
            <w:tcW w:w="6998" w:type="dxa"/>
            <w:gridSpan w:val="6"/>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c>
          <w:tcPr>
            <w:tcW w:w="11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9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742" w:hRule="exact"/>
          <w:jc w:val="center"/>
        </w:trPr>
        <w:tc>
          <w:tcPr>
            <w:tcW w:w="11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98"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2</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3</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4</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5</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6</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7</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8</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9</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11</w:t>
            </w:r>
          </w:p>
        </w:tc>
        <w:tc>
          <w:tcPr>
            <w:tcW w:w="1198"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98"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r>
    </w:tbl>
    <w:p>
      <w:pPr>
        <w:keepNext w:val="0"/>
        <w:keepLines w:val="0"/>
        <w:pageBreakBefore w:val="0"/>
        <w:widowControl w:val="0"/>
        <w:kinsoku/>
        <w:wordWrap/>
        <w:overflowPunct/>
        <w:topLinePunct w:val="0"/>
        <w:autoSpaceDE/>
        <w:autoSpaceDN/>
        <w:bidi w:val="0"/>
        <w:adjustRightInd/>
        <w:snapToGrid/>
        <w:ind w:left="63" w:leftChars="30"/>
        <w:jc w:val="both"/>
        <w:textAlignment w:val="auto"/>
        <w:rPr>
          <w:rFonts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说明：我部门没有“三公”经费预算，也没有“三公”经费支出，故本表无数据。</w:t>
      </w:r>
      <w:r>
        <w:rPr>
          <w:rFonts w:hint="eastAsia" w:ascii="宋体" w:hAnsi="宋体" w:eastAsia="宋体" w:cs="宋体"/>
          <w:color w:val="000000"/>
          <w:kern w:val="0"/>
          <w:sz w:val="19"/>
          <w:szCs w:val="19"/>
          <w:lang w:val="en-US" w:eastAsia="zh-CN"/>
        </w:rPr>
        <w:t xml:space="preserve"> </w:t>
      </w:r>
    </w:p>
    <w:p>
      <w:pPr>
        <w:keepNext w:val="0"/>
        <w:keepLines w:val="0"/>
        <w:pageBreakBefore w:val="0"/>
        <w:tabs>
          <w:tab w:val="left" w:pos="5665"/>
        </w:tabs>
        <w:kinsoku/>
        <w:wordWrap/>
        <w:overflowPunct/>
        <w:topLinePunct w:val="0"/>
        <w:autoSpaceDE/>
        <w:autoSpaceDN/>
        <w:bidi w:val="0"/>
        <w:adjustRightInd/>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overflowPunct/>
        <w:topLinePunct w:val="0"/>
        <w:autoSpaceDE/>
        <w:autoSpaceDN/>
        <w:bidi w:val="0"/>
        <w:adjustRightInd/>
        <w:jc w:val="both"/>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2024年度部门决算情况说明</w:t>
      </w: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一、收入支出决算总体情况说明</w:t>
      </w:r>
    </w:p>
    <w:p>
      <w:pPr>
        <w:keepNext w:val="0"/>
        <w:keepLines w:val="0"/>
        <w:pageBreakBefore w:val="0"/>
        <w:widowControl/>
        <w:numPr>
          <w:ilvl w:val="0"/>
          <w:numId w:val="0"/>
        </w:numPr>
        <w:kinsoku/>
        <w:wordWrap/>
        <w:overflowPunct/>
        <w:topLinePunct w:val="0"/>
        <w:autoSpaceDE/>
        <w:autoSpaceDN/>
        <w:bidi w:val="0"/>
        <w:adjustRightInd/>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223.91</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与上年度相比，收、支总计各减少318.00万元，下降58.68%，主要原因是专项支出上级补助减少。</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二、收入决算情况说明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223.91</w:t>
      </w:r>
      <w:r>
        <w:rPr>
          <w:rFonts w:hint="eastAsia" w:ascii="仿宋_GB2312" w:hAnsi="仿宋_GB2312" w:eastAsia="仿宋_GB2312" w:cs="仿宋_GB2312"/>
          <w:sz w:val="32"/>
          <w:szCs w:val="32"/>
          <w:lang w:val="en-US" w:eastAsia="zh-CN"/>
        </w:rPr>
        <w:t>万元，其中：财政拨款收入223.91万元，占100.00%。</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三、支出决算情况说明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223.91</w:t>
      </w:r>
      <w:r>
        <w:rPr>
          <w:rFonts w:hint="eastAsia" w:ascii="仿宋_GB2312" w:hAnsi="仿宋_GB2312" w:eastAsia="仿宋_GB2312" w:cs="仿宋_GB2312"/>
          <w:sz w:val="32"/>
          <w:szCs w:val="32"/>
          <w:lang w:val="en-US" w:eastAsia="zh-CN"/>
        </w:rPr>
        <w:t>万元，其中：基本支出190.91万元，占85.26%;项目支出33.00万元，占14.74%。</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四、财政拨款收入支出决算总体情况说明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223.91</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与上年度相比，财政拨款收、支总计各减少318.00万元，下降58.68%，主要原因是专项支出上级补助减少。</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五、一般公共预算财政拨款支出决算情况说明</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2024年度一般公共预算财政拨款支出190.91万元，占支出合计的85.26%。与上年度相比，一般公共预算财政拨款支出减少264.00万元，下降58.03%，主要原因是专项支出上级补助减少。</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190.91万元，主要用于以下方面：一般公共服务（类）支出161.13万元，占84.40%;社会保障和就业（类）支出17.38万元，占9.10%;卫生健康（类）支出5.56万元，占2.91%;住房保障（类）支出6.84万元，占3.58%。</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eastAsia="仿宋_GB2312"/>
          <w:sz w:val="32"/>
          <w:szCs w:val="32"/>
          <w:highlight w:val="none"/>
          <w:lang w:val="en-US" w:eastAsia="zh-CN"/>
        </w:rPr>
        <w:t>690.47</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190.91</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27.65</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一般公共服务支出（类）群众团体事务（款）工会事务（项）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1.74</w:t>
      </w:r>
      <w:r>
        <w:rPr>
          <w:rFonts w:hint="eastAsia" w:ascii="仿宋" w:hAnsi="仿宋" w:eastAsia="仿宋" w:cs="仿宋_GB2312"/>
          <w:sz w:val="32"/>
          <w:szCs w:val="32"/>
          <w:lang w:val="en-US" w:eastAsia="zh-CN"/>
        </w:rPr>
        <w:t>万元，支出决算为0万元。决算数与年初预算数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本年度无工会支出</w:t>
      </w:r>
      <w:r>
        <w:rPr>
          <w:rFonts w:hint="eastAsia" w:ascii="仿宋" w:hAnsi="仿宋" w:eastAsia="仿宋" w:cs="仿宋_GB2312"/>
          <w:sz w:val="32"/>
          <w:szCs w:val="32"/>
          <w:lang w:val="en-US"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一般公共服务支出（类）宣传事务（款）行政运行（项）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112.54</w:t>
      </w:r>
      <w:r>
        <w:rPr>
          <w:rFonts w:hint="eastAsia" w:ascii="仿宋" w:hAnsi="仿宋" w:eastAsia="仿宋" w:cs="仿宋_GB2312"/>
          <w:sz w:val="32"/>
          <w:szCs w:val="32"/>
          <w:lang w:val="en-US" w:eastAsia="zh-CN"/>
        </w:rPr>
        <w:t>万元，支出决算为161.13万元。决算数与年初预算数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
          <w:kern w:val="0"/>
          <w:sz w:val="32"/>
          <w:szCs w:val="32"/>
          <w:lang w:val="en-US" w:eastAsia="zh-CN"/>
        </w:rPr>
        <w:t>各项业务支出增多，人员增加，工资增加</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一般公共服务支出（类）宣传事务（款）一般行政管理事务（项）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136.80</w:t>
      </w:r>
      <w:r>
        <w:rPr>
          <w:rFonts w:hint="eastAsia" w:ascii="仿宋" w:hAnsi="仿宋" w:eastAsia="仿宋" w:cs="仿宋_GB2312"/>
          <w:sz w:val="32"/>
          <w:szCs w:val="32"/>
          <w:lang w:val="en-US" w:eastAsia="zh-CN"/>
        </w:rPr>
        <w:t>万元，支出决算为0万元。决算数与年初预算数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创国家级文明城暂缓</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文化旅游体育与传媒支出（类）文化和旅游（款）其他文化和旅游支出（项）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408.00</w:t>
      </w:r>
      <w:r>
        <w:rPr>
          <w:rFonts w:hint="eastAsia" w:ascii="仿宋" w:hAnsi="仿宋" w:eastAsia="仿宋" w:cs="仿宋_GB2312"/>
          <w:sz w:val="32"/>
          <w:szCs w:val="32"/>
          <w:lang w:val="en-US" w:eastAsia="zh-CN"/>
        </w:rPr>
        <w:t>万元，支出决算为0万元。决算数与年初预算数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_GB2312" w:hAnsi="仿宋_GB2312" w:eastAsia="仿宋_GB2312" w:cs="仿宋_GB2312"/>
          <w:sz w:val="32"/>
          <w:szCs w:val="32"/>
          <w:lang w:val="en-US" w:eastAsia="zh-CN"/>
        </w:rPr>
        <w:t>专项支出上级补助减少</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13.90</w:t>
      </w:r>
      <w:r>
        <w:rPr>
          <w:rFonts w:hint="eastAsia" w:ascii="仿宋" w:hAnsi="仿宋" w:eastAsia="仿宋" w:cs="仿宋_GB2312"/>
          <w:sz w:val="32"/>
          <w:szCs w:val="32"/>
          <w:lang w:val="en-US" w:eastAsia="zh-CN"/>
        </w:rPr>
        <w:t>万元，支出决算为13.9万元。决算数与年初预算数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持平</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1.58</w:t>
      </w:r>
      <w:r>
        <w:rPr>
          <w:rFonts w:hint="eastAsia" w:ascii="仿宋" w:hAnsi="仿宋" w:eastAsia="仿宋" w:cs="仿宋_GB2312"/>
          <w:sz w:val="32"/>
          <w:szCs w:val="32"/>
          <w:lang w:val="en-US" w:eastAsia="zh-CN"/>
        </w:rPr>
        <w:t>万元，支出决算为3.48万元。决算数与年初预算数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人员增加，保险类支出增加</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卫生健康支出（类）行政事业单位医疗（款）行政单位医疗（项）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5.57</w:t>
      </w:r>
      <w:r>
        <w:rPr>
          <w:rFonts w:hint="eastAsia" w:ascii="仿宋" w:hAnsi="仿宋" w:eastAsia="仿宋" w:cs="仿宋_GB2312"/>
          <w:sz w:val="32"/>
          <w:szCs w:val="32"/>
          <w:lang w:val="en-US" w:eastAsia="zh-CN"/>
        </w:rPr>
        <w:t>万元，支出决算为5.57万元。决算数与年初预算数</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持平</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3.39</w:t>
      </w:r>
      <w:r>
        <w:rPr>
          <w:rFonts w:hint="eastAsia" w:ascii="仿宋" w:hAnsi="仿宋" w:eastAsia="仿宋" w:cs="仿宋_GB2312"/>
          <w:sz w:val="32"/>
          <w:szCs w:val="32"/>
          <w:lang w:val="en-US" w:eastAsia="zh-CN"/>
        </w:rPr>
        <w:t>万元，支出决算为0万元。决算数与年初预算数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人员调出，无事业医疗支出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6.95</w:t>
      </w:r>
      <w:r>
        <w:rPr>
          <w:rFonts w:hint="eastAsia" w:ascii="仿宋" w:hAnsi="仿宋" w:eastAsia="仿宋" w:cs="仿宋_GB2312"/>
          <w:sz w:val="32"/>
          <w:szCs w:val="32"/>
          <w:lang w:val="en-US" w:eastAsia="zh-CN"/>
        </w:rPr>
        <w:t>万元，支出决算为6.84万元。决算数与年初预算数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人员调出，支出减少</w:t>
      </w:r>
      <w:r>
        <w:rPr>
          <w:rFonts w:hint="eastAsia" w:ascii="仿宋" w:hAnsi="仿宋" w:eastAsia="仿宋" w:cs="仿宋_GB2312"/>
          <w:sz w:val="32"/>
          <w:szCs w:val="32"/>
          <w:lang w:val="en-US" w:eastAsia="zh-CN"/>
        </w:rPr>
        <w:t>。</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六、一般公共预算财政拨款基本支出决算情况说明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190.91</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121.50</w:t>
      </w:r>
      <w:r>
        <w:rPr>
          <w:rFonts w:hint="eastAsia" w:ascii="仿宋_GB2312" w:hAnsi="仿宋_GB2312" w:eastAsia="仿宋_GB2312" w:cs="仿宋_GB2312"/>
          <w:sz w:val="32"/>
          <w:szCs w:val="32"/>
          <w:lang w:val="en-US" w:eastAsia="zh-CN"/>
        </w:rPr>
        <w:t>万元，主要包括：基本工资、津贴补贴、奖金、机关事业单位基本养老保险缴费、职工基本医疗保险缴费、其他社会保障缴费、住房公积金；公用经费</w:t>
      </w:r>
      <w:r>
        <w:rPr>
          <w:rFonts w:hint="eastAsia" w:ascii="仿宋_GB2312" w:hAnsi="Times New Roman" w:eastAsia="仿宋_GB2312"/>
          <w:sz w:val="32"/>
          <w:szCs w:val="32"/>
          <w:lang w:val="en-US" w:eastAsia="zh-CN"/>
        </w:rPr>
        <w:t>69.41</w:t>
      </w:r>
      <w:r>
        <w:rPr>
          <w:rFonts w:hint="eastAsia" w:ascii="仿宋_GB2312" w:hAnsi="仿宋_GB2312" w:eastAsia="仿宋_GB2312" w:cs="仿宋_GB2312"/>
          <w:sz w:val="32"/>
          <w:szCs w:val="32"/>
          <w:lang w:val="en-US" w:eastAsia="zh-CN"/>
        </w:rPr>
        <w:t>万元，主要包括：办公费、印刷费、邮电费、物业管理费、差旅费、维修（护）费、租赁费、专用材料费、委托业务费、其他交通费用、其他商品和服务支出。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七、政府性基金预算财政拨款支出决算情况说明</w:t>
      </w:r>
    </w:p>
    <w:p>
      <w:pPr>
        <w:keepNext w:val="0"/>
        <w:keepLines w:val="0"/>
        <w:pageBreakBefore w:val="0"/>
        <w:widowControl/>
        <w:numPr>
          <w:ilvl w:val="0"/>
          <w:numId w:val="0"/>
        </w:numPr>
        <w:kinsoku/>
        <w:wordWrap/>
        <w:overflowPunct/>
        <w:topLinePunct w:val="0"/>
        <w:autoSpaceDE/>
        <w:autoSpaceDN/>
        <w:bidi w:val="0"/>
        <w:adjustRightInd/>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2024年度政府性基金预算财政拨款支出年初预算为33.00万元，支出决算为33.00万元，完成年初预算的100.00%。主要用于资助电影院建设。年末无结转结余资金。</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八、国有资本经营预算财政拨款支出决算情况说明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我部门2024年没有使用国有资本经营预算财政拨款安排的支出。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九、一般公共预算财政拨款“三公”经费支出决算情况说明</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0.00万元。2024年期末，部门开支财政拨款的公务用车保有量为0辆。</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十、机关运行经费支出情况说明</w:t>
      </w:r>
    </w:p>
    <w:p>
      <w:pPr>
        <w:keepNext w:val="0"/>
        <w:keepLines w:val="0"/>
        <w:pageBreakBefore w:val="0"/>
        <w:widowControl/>
        <w:numPr>
          <w:ilvl w:val="0"/>
          <w:numId w:val="0"/>
        </w:numPr>
        <w:kinsoku/>
        <w:wordWrap/>
        <w:overflowPunct/>
        <w:topLinePunct w:val="0"/>
        <w:autoSpaceDE/>
        <w:autoSpaceDN/>
        <w:bidi w:val="0"/>
        <w:adjustRightInd/>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2024年度机关运行经费支出69.41万元，比2023年减少50.99万元，下降42.35%。主要原因是节约开支，创国家级文明城暂缓。</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十一、政府采购支出情况说明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十二、国有资产占用情况说明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部门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十三、预算绩效评价情况说明</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outlineLvl w:val="1"/>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2024年我部门高度重视绩效管理工作。强化绩效目标管理，对</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169.8</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我部门对2024年度</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100</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tbl>
      <w:tblPr>
        <w:tblStyle w:val="2"/>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71"/>
        <w:gridCol w:w="900"/>
        <w:gridCol w:w="927"/>
        <w:gridCol w:w="1396"/>
        <w:gridCol w:w="943"/>
        <w:gridCol w:w="727"/>
        <w:gridCol w:w="685"/>
        <w:gridCol w:w="635"/>
        <w:gridCol w:w="634"/>
        <w:gridCol w:w="99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10"/>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40"/>
                <w:szCs w:val="40"/>
                <w:u w:val="none"/>
              </w:rPr>
            </w:pPr>
            <w:r>
              <w:rPr>
                <w:rFonts w:hint="eastAsia" w:ascii="宋体" w:hAnsi="宋体" w:eastAsia="宋体" w:cs="宋体"/>
                <w:i w:val="0"/>
                <w:iCs w:val="0"/>
                <w:color w:val="000000"/>
                <w:kern w:val="0"/>
                <w:sz w:val="40"/>
                <w:szCs w:val="40"/>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10"/>
            <w:tcBorders>
              <w:top w:val="single" w:color="000000" w:sz="4" w:space="0"/>
              <w:left w:val="single" w:color="000000" w:sz="4" w:space="0"/>
              <w:bottom w:val="single" w:color="000000" w:sz="4" w:space="0"/>
              <w:right w:val="single" w:color="000000" w:sz="4" w:space="0"/>
            </w:tcBorders>
            <w:noWrap w:val="0"/>
            <w:vAlign w:val="top"/>
          </w:tcPr>
          <w:p>
            <w:pPr>
              <w:keepNext w:val="0"/>
              <w:keepLines w:val="0"/>
              <w:pageBreakBefore w:val="0"/>
              <w:widowControl/>
              <w:suppressLineNumbers w:val="0"/>
              <w:kinsoku/>
              <w:wordWrap/>
              <w:overflowPunct/>
              <w:topLinePunct w:val="0"/>
              <w:autoSpaceDE/>
              <w:autoSpaceDN/>
              <w:bidi w:val="0"/>
              <w:adjustRightInd/>
              <w:snapToGrid w:val="0"/>
              <w:jc w:val="center"/>
              <w:textAlignment w:val="top"/>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2025年10月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2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项目名称</w:t>
            </w:r>
          </w:p>
        </w:tc>
        <w:tc>
          <w:tcPr>
            <w:tcW w:w="4077" w:type="pct"/>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pageBreakBefore w:val="0"/>
              <w:widowControl/>
              <w:suppressLineNumbers w:val="0"/>
              <w:kinsoku/>
              <w:wordWrap/>
              <w:overflowPunct/>
              <w:topLinePunct w:val="0"/>
              <w:autoSpaceDE/>
              <w:autoSpaceDN/>
              <w:bidi w:val="0"/>
              <w:adjustRightInd/>
              <w:snapToGrid w:val="0"/>
              <w:jc w:val="center"/>
              <w:textAlignment w:val="top"/>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2024年大讲堂、新闻宣传、网络监测等业务经费（预算内）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2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主管部门</w:t>
            </w:r>
          </w:p>
        </w:tc>
        <w:tc>
          <w:tcPr>
            <w:tcW w:w="136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中共郸城县委宣传部</w:t>
            </w:r>
          </w:p>
        </w:tc>
        <w:tc>
          <w:tcPr>
            <w:tcW w:w="98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实施单位</w:t>
            </w:r>
          </w:p>
        </w:tc>
        <w:tc>
          <w:tcPr>
            <w:tcW w:w="1733"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中共郸城县委宣传部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22"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项目资金                (万元)</w:t>
            </w:r>
          </w:p>
        </w:tc>
        <w:tc>
          <w:tcPr>
            <w:tcW w:w="54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8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年初预算数</w:t>
            </w:r>
          </w:p>
        </w:tc>
        <w:tc>
          <w:tcPr>
            <w:tcW w:w="5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全年预算数</w:t>
            </w:r>
          </w:p>
        </w:tc>
        <w:tc>
          <w:tcPr>
            <w:tcW w:w="42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全年执行数</w:t>
            </w:r>
          </w:p>
        </w:tc>
        <w:tc>
          <w:tcPr>
            <w:tcW w:w="40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分值</w:t>
            </w:r>
          </w:p>
        </w:tc>
        <w:tc>
          <w:tcPr>
            <w:tcW w:w="37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执行率</w:t>
            </w:r>
          </w:p>
        </w:tc>
        <w:tc>
          <w:tcPr>
            <w:tcW w:w="958"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22"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4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Style w:val="21"/>
                <w:sz w:val="14"/>
                <w:szCs w:val="14"/>
                <w:lang w:val="en-US" w:eastAsia="zh-CN" w:bidi="ar"/>
              </w:rPr>
              <w:t>年度资金总额：</w:t>
            </w:r>
          </w:p>
        </w:tc>
        <w:tc>
          <w:tcPr>
            <w:tcW w:w="8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91.8</w:t>
            </w:r>
          </w:p>
        </w:tc>
        <w:tc>
          <w:tcPr>
            <w:tcW w:w="5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74.5</w:t>
            </w:r>
          </w:p>
        </w:tc>
        <w:tc>
          <w:tcPr>
            <w:tcW w:w="42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40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w:t>
            </w:r>
          </w:p>
        </w:tc>
        <w:tc>
          <w:tcPr>
            <w:tcW w:w="37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0.0 %</w:t>
            </w:r>
          </w:p>
        </w:tc>
        <w:tc>
          <w:tcPr>
            <w:tcW w:w="958"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22"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4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财政拨款</w:t>
            </w:r>
          </w:p>
        </w:tc>
        <w:tc>
          <w:tcPr>
            <w:tcW w:w="8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91.8</w:t>
            </w:r>
          </w:p>
        </w:tc>
        <w:tc>
          <w:tcPr>
            <w:tcW w:w="5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74.5</w:t>
            </w:r>
          </w:p>
        </w:tc>
        <w:tc>
          <w:tcPr>
            <w:tcW w:w="42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40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37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0.0 %</w:t>
            </w:r>
          </w:p>
        </w:tc>
        <w:tc>
          <w:tcPr>
            <w:tcW w:w="958"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22"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4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财政专户管理资金</w:t>
            </w:r>
          </w:p>
        </w:tc>
        <w:tc>
          <w:tcPr>
            <w:tcW w:w="8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5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42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40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37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0.00%</w:t>
            </w:r>
          </w:p>
        </w:tc>
        <w:tc>
          <w:tcPr>
            <w:tcW w:w="958"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22"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4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单位资金</w:t>
            </w:r>
          </w:p>
        </w:tc>
        <w:tc>
          <w:tcPr>
            <w:tcW w:w="81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55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42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40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37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0.00%</w:t>
            </w:r>
          </w:p>
        </w:tc>
        <w:tc>
          <w:tcPr>
            <w:tcW w:w="958"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22"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资金管理情况</w:t>
            </w:r>
          </w:p>
        </w:tc>
        <w:tc>
          <w:tcPr>
            <w:tcW w:w="1363" w:type="pct"/>
            <w:gridSpan w:val="2"/>
            <w:tcBorders>
              <w:top w:val="single" w:color="000000" w:sz="4" w:space="0"/>
              <w:left w:val="nil"/>
              <w:bottom w:val="single" w:color="000000" w:sz="4" w:space="0"/>
              <w:right w:val="single" w:color="000000" w:sz="4" w:space="0"/>
            </w:tcBorders>
            <w:noWrap/>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98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情况说明</w:t>
            </w:r>
          </w:p>
        </w:tc>
        <w:tc>
          <w:tcPr>
            <w:tcW w:w="40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分值（20）</w:t>
            </w:r>
          </w:p>
        </w:tc>
        <w:tc>
          <w:tcPr>
            <w:tcW w:w="37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得分</w:t>
            </w:r>
          </w:p>
        </w:tc>
        <w:tc>
          <w:tcPr>
            <w:tcW w:w="958" w:type="pct"/>
            <w:gridSpan w:val="2"/>
            <w:tcBorders>
              <w:top w:val="single" w:color="000000" w:sz="4" w:space="0"/>
              <w:left w:val="nil"/>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22"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363" w:type="pct"/>
            <w:gridSpan w:val="2"/>
            <w:tcBorders>
              <w:top w:val="single" w:color="000000" w:sz="4" w:space="0"/>
              <w:left w:val="nil"/>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安排科学性</w:t>
            </w:r>
          </w:p>
        </w:tc>
        <w:tc>
          <w:tcPr>
            <w:tcW w:w="98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0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5</w:t>
            </w:r>
          </w:p>
        </w:tc>
        <w:tc>
          <w:tcPr>
            <w:tcW w:w="37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958" w:type="pct"/>
            <w:gridSpan w:val="2"/>
            <w:tcBorders>
              <w:top w:val="single" w:color="000000" w:sz="4" w:space="0"/>
              <w:left w:val="nil"/>
              <w:bottom w:val="single" w:color="000000" w:sz="4" w:space="0"/>
              <w:right w:val="single" w:color="000000" w:sz="4" w:space="0"/>
            </w:tcBorders>
            <w:noWrap/>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22"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363" w:type="pct"/>
            <w:gridSpan w:val="2"/>
            <w:tcBorders>
              <w:top w:val="single" w:color="000000" w:sz="4" w:space="0"/>
              <w:left w:val="nil"/>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拨付合规性</w:t>
            </w:r>
          </w:p>
        </w:tc>
        <w:tc>
          <w:tcPr>
            <w:tcW w:w="98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0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5</w:t>
            </w:r>
          </w:p>
        </w:tc>
        <w:tc>
          <w:tcPr>
            <w:tcW w:w="37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958" w:type="pct"/>
            <w:gridSpan w:val="2"/>
            <w:tcBorders>
              <w:top w:val="single" w:color="000000" w:sz="4" w:space="0"/>
              <w:left w:val="nil"/>
              <w:bottom w:val="single" w:color="000000" w:sz="4" w:space="0"/>
              <w:right w:val="single" w:color="000000" w:sz="4" w:space="0"/>
            </w:tcBorders>
            <w:noWrap/>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22"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363" w:type="pct"/>
            <w:gridSpan w:val="2"/>
            <w:tcBorders>
              <w:top w:val="single" w:color="000000" w:sz="4" w:space="0"/>
              <w:left w:val="nil"/>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使用规范性</w:t>
            </w:r>
          </w:p>
        </w:tc>
        <w:tc>
          <w:tcPr>
            <w:tcW w:w="98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0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5</w:t>
            </w:r>
          </w:p>
        </w:tc>
        <w:tc>
          <w:tcPr>
            <w:tcW w:w="37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958" w:type="pct"/>
            <w:gridSpan w:val="2"/>
            <w:tcBorders>
              <w:top w:val="single" w:color="000000" w:sz="4" w:space="0"/>
              <w:left w:val="nil"/>
              <w:bottom w:val="single" w:color="000000" w:sz="4" w:space="0"/>
              <w:right w:val="single" w:color="000000" w:sz="4" w:space="0"/>
            </w:tcBorders>
            <w:noWrap/>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22"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363" w:type="pct"/>
            <w:gridSpan w:val="2"/>
            <w:tcBorders>
              <w:top w:val="single" w:color="000000" w:sz="4" w:space="0"/>
              <w:left w:val="nil"/>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预算绩效管理情况</w:t>
            </w:r>
          </w:p>
        </w:tc>
        <w:tc>
          <w:tcPr>
            <w:tcW w:w="98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0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5</w:t>
            </w:r>
          </w:p>
        </w:tc>
        <w:tc>
          <w:tcPr>
            <w:tcW w:w="37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958" w:type="pct"/>
            <w:gridSpan w:val="2"/>
            <w:tcBorders>
              <w:top w:val="single" w:color="000000" w:sz="4" w:space="0"/>
              <w:left w:val="nil"/>
              <w:bottom w:val="single" w:color="000000" w:sz="4" w:space="0"/>
              <w:right w:val="single" w:color="000000" w:sz="4" w:space="0"/>
            </w:tcBorders>
            <w:noWrap/>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93"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年度总体目标</w:t>
            </w:r>
          </w:p>
        </w:tc>
        <w:tc>
          <w:tcPr>
            <w:tcW w:w="1892"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预期目标</w:t>
            </w:r>
          </w:p>
        </w:tc>
        <w:tc>
          <w:tcPr>
            <w:tcW w:w="2713"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93"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892" w:type="pct"/>
            <w:gridSpan w:val="3"/>
            <w:tcBorders>
              <w:top w:val="single" w:color="000000" w:sz="4" w:space="0"/>
              <w:left w:val="single" w:color="000000" w:sz="4" w:space="0"/>
              <w:bottom w:val="single" w:color="000000" w:sz="4" w:space="0"/>
              <w:right w:val="single" w:color="000000" w:sz="4" w:space="0"/>
            </w:tcBorders>
            <w:noWrap w:val="0"/>
            <w:vAlign w:val="top"/>
          </w:tcPr>
          <w:p>
            <w:pPr>
              <w:keepNext w:val="0"/>
              <w:keepLines w:val="0"/>
              <w:pageBreakBefore w:val="0"/>
              <w:widowControl/>
              <w:suppressLineNumbers w:val="0"/>
              <w:kinsoku/>
              <w:wordWrap/>
              <w:overflowPunct/>
              <w:topLinePunct w:val="0"/>
              <w:autoSpaceDE/>
              <w:autoSpaceDN/>
              <w:bidi w:val="0"/>
              <w:adjustRightInd/>
              <w:snapToGrid w:val="0"/>
              <w:jc w:val="center"/>
              <w:textAlignment w:val="top"/>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1、认真落实“第一议题”制度、深入开展党的创新理论宣讲。 </w:t>
            </w:r>
            <w:r>
              <w:rPr>
                <w:rFonts w:hint="eastAsia" w:ascii="宋体" w:hAnsi="宋体" w:eastAsia="宋体" w:cs="宋体"/>
                <w:i w:val="0"/>
                <w:iCs w:val="0"/>
                <w:color w:val="000000"/>
                <w:kern w:val="0"/>
                <w:sz w:val="14"/>
                <w:szCs w:val="14"/>
                <w:u w:val="none"/>
                <w:lang w:val="en-US" w:eastAsia="zh-CN" w:bidi="ar"/>
              </w:rPr>
              <w:br w:type="textWrapping"/>
            </w:r>
            <w:r>
              <w:rPr>
                <w:rFonts w:hint="eastAsia" w:ascii="宋体" w:hAnsi="宋体" w:eastAsia="宋体" w:cs="宋体"/>
                <w:i w:val="0"/>
                <w:iCs w:val="0"/>
                <w:color w:val="000000"/>
                <w:kern w:val="0"/>
                <w:sz w:val="14"/>
                <w:szCs w:val="14"/>
                <w:u w:val="none"/>
                <w:lang w:val="en-US" w:eastAsia="zh-CN" w:bidi="ar"/>
              </w:rPr>
              <w:t xml:space="preserve">2、扛牢压实责任、完善工作格局。 </w:t>
            </w:r>
            <w:r>
              <w:rPr>
                <w:rFonts w:hint="eastAsia" w:ascii="宋体" w:hAnsi="宋体" w:eastAsia="宋体" w:cs="宋体"/>
                <w:i w:val="0"/>
                <w:iCs w:val="0"/>
                <w:color w:val="000000"/>
                <w:kern w:val="0"/>
                <w:sz w:val="14"/>
                <w:szCs w:val="14"/>
                <w:u w:val="none"/>
                <w:lang w:val="en-US" w:eastAsia="zh-CN" w:bidi="ar"/>
              </w:rPr>
              <w:br w:type="textWrapping"/>
            </w:r>
            <w:r>
              <w:rPr>
                <w:rFonts w:hint="eastAsia" w:ascii="宋体" w:hAnsi="宋体" w:eastAsia="宋体" w:cs="宋体"/>
                <w:i w:val="0"/>
                <w:iCs w:val="0"/>
                <w:color w:val="000000"/>
                <w:kern w:val="0"/>
                <w:sz w:val="14"/>
                <w:szCs w:val="14"/>
                <w:u w:val="none"/>
                <w:lang w:val="en-US" w:eastAsia="zh-CN" w:bidi="ar"/>
              </w:rPr>
              <w:t xml:space="preserve">3、加强内宣管理。 </w:t>
            </w:r>
            <w:r>
              <w:rPr>
                <w:rFonts w:hint="eastAsia" w:ascii="宋体" w:hAnsi="宋体" w:eastAsia="宋体" w:cs="宋体"/>
                <w:i w:val="0"/>
                <w:iCs w:val="0"/>
                <w:color w:val="000000"/>
                <w:kern w:val="0"/>
                <w:sz w:val="14"/>
                <w:szCs w:val="14"/>
                <w:u w:val="none"/>
                <w:lang w:val="en-US" w:eastAsia="zh-CN" w:bidi="ar"/>
              </w:rPr>
              <w:br w:type="textWrapping"/>
            </w:r>
            <w:r>
              <w:rPr>
                <w:rFonts w:hint="eastAsia" w:ascii="宋体" w:hAnsi="宋体" w:eastAsia="宋体" w:cs="宋体"/>
                <w:i w:val="0"/>
                <w:iCs w:val="0"/>
                <w:color w:val="000000"/>
                <w:kern w:val="0"/>
                <w:sz w:val="14"/>
                <w:szCs w:val="14"/>
                <w:u w:val="none"/>
                <w:lang w:val="en-US" w:eastAsia="zh-CN" w:bidi="ar"/>
              </w:rPr>
              <w:t xml:space="preserve">4、加大外宣力度，树立郸城良好对外形象。 </w:t>
            </w:r>
            <w:r>
              <w:rPr>
                <w:rFonts w:hint="eastAsia" w:ascii="宋体" w:hAnsi="宋体" w:eastAsia="宋体" w:cs="宋体"/>
                <w:i w:val="0"/>
                <w:iCs w:val="0"/>
                <w:color w:val="000000"/>
                <w:kern w:val="0"/>
                <w:sz w:val="14"/>
                <w:szCs w:val="14"/>
                <w:u w:val="none"/>
                <w:lang w:val="en-US" w:eastAsia="zh-CN" w:bidi="ar"/>
              </w:rPr>
              <w:br w:type="textWrapping"/>
            </w:r>
            <w:r>
              <w:rPr>
                <w:rFonts w:hint="eastAsia" w:ascii="宋体" w:hAnsi="宋体" w:eastAsia="宋体" w:cs="宋体"/>
                <w:i w:val="0"/>
                <w:iCs w:val="0"/>
                <w:color w:val="000000"/>
                <w:kern w:val="0"/>
                <w:sz w:val="14"/>
                <w:szCs w:val="14"/>
                <w:u w:val="none"/>
                <w:lang w:val="en-US" w:eastAsia="zh-CN" w:bidi="ar"/>
              </w:rPr>
              <w:t>5、建好用好新时代文明实践中心（站、所）。</w:t>
            </w:r>
          </w:p>
        </w:tc>
        <w:tc>
          <w:tcPr>
            <w:tcW w:w="2713" w:type="pct"/>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000" w:type="pct"/>
            <w:gridSpan w:val="10"/>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000" w:type="pct"/>
            <w:gridSpan w:val="10"/>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393"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一级指标</w:t>
            </w:r>
          </w:p>
        </w:tc>
        <w:tc>
          <w:tcPr>
            <w:tcW w:w="528"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二级指标</w:t>
            </w:r>
          </w:p>
        </w:tc>
        <w:tc>
          <w:tcPr>
            <w:tcW w:w="1363"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三级指标</w:t>
            </w:r>
          </w:p>
        </w:tc>
        <w:tc>
          <w:tcPr>
            <w:tcW w:w="553"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年度指标值</w:t>
            </w:r>
          </w:p>
        </w:tc>
        <w:tc>
          <w:tcPr>
            <w:tcW w:w="42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实际值完成值</w:t>
            </w:r>
          </w:p>
        </w:tc>
        <w:tc>
          <w:tcPr>
            <w:tcW w:w="40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分值</w:t>
            </w:r>
          </w:p>
        </w:tc>
        <w:tc>
          <w:tcPr>
            <w:tcW w:w="37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得分</w:t>
            </w:r>
          </w:p>
        </w:tc>
        <w:tc>
          <w:tcPr>
            <w:tcW w:w="37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偏差度</w:t>
            </w:r>
          </w:p>
        </w:tc>
        <w:tc>
          <w:tcPr>
            <w:tcW w:w="585"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393"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28"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363"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3"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26"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0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85"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9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成本指标</w:t>
            </w:r>
          </w:p>
        </w:tc>
        <w:tc>
          <w:tcPr>
            <w:tcW w:w="5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经济成本指标</w:t>
            </w:r>
          </w:p>
        </w:tc>
        <w:tc>
          <w:tcPr>
            <w:tcW w:w="136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新闻宣传、精神文明建设及学习大讲堂投入资金</w:t>
            </w:r>
          </w:p>
        </w:tc>
        <w:tc>
          <w:tcPr>
            <w:tcW w:w="55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=91.8万元</w:t>
            </w:r>
          </w:p>
        </w:tc>
        <w:tc>
          <w:tcPr>
            <w:tcW w:w="4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8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93"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产出指标</w:t>
            </w:r>
          </w:p>
        </w:tc>
        <w:tc>
          <w:tcPr>
            <w:tcW w:w="528"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数量指标</w:t>
            </w:r>
          </w:p>
        </w:tc>
        <w:tc>
          <w:tcPr>
            <w:tcW w:w="136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检测网络数量</w:t>
            </w:r>
          </w:p>
        </w:tc>
        <w:tc>
          <w:tcPr>
            <w:tcW w:w="55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≥100次</w:t>
            </w:r>
          </w:p>
        </w:tc>
        <w:tc>
          <w:tcPr>
            <w:tcW w:w="4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8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93"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28"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36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理论中心组学习次数</w:t>
            </w:r>
          </w:p>
        </w:tc>
        <w:tc>
          <w:tcPr>
            <w:tcW w:w="55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≥12次</w:t>
            </w:r>
          </w:p>
        </w:tc>
        <w:tc>
          <w:tcPr>
            <w:tcW w:w="4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8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93"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28"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质量指标</w:t>
            </w:r>
          </w:p>
        </w:tc>
        <w:tc>
          <w:tcPr>
            <w:tcW w:w="136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学习参会率</w:t>
            </w:r>
          </w:p>
        </w:tc>
        <w:tc>
          <w:tcPr>
            <w:tcW w:w="55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≥95%</w:t>
            </w:r>
          </w:p>
        </w:tc>
        <w:tc>
          <w:tcPr>
            <w:tcW w:w="4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8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93"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28"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36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省级以上新闻媒体发稿合格率</w:t>
            </w:r>
          </w:p>
        </w:tc>
        <w:tc>
          <w:tcPr>
            <w:tcW w:w="55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4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8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93"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时效指标</w:t>
            </w:r>
          </w:p>
        </w:tc>
        <w:tc>
          <w:tcPr>
            <w:tcW w:w="136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持续提升宣传度</w:t>
            </w:r>
          </w:p>
        </w:tc>
        <w:tc>
          <w:tcPr>
            <w:tcW w:w="55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持续</w:t>
            </w:r>
          </w:p>
        </w:tc>
        <w:tc>
          <w:tcPr>
            <w:tcW w:w="4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8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9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效益指标</w:t>
            </w:r>
          </w:p>
        </w:tc>
        <w:tc>
          <w:tcPr>
            <w:tcW w:w="5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社会效益指标</w:t>
            </w:r>
          </w:p>
        </w:tc>
        <w:tc>
          <w:tcPr>
            <w:tcW w:w="136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树立郸城良好对外形象</w:t>
            </w:r>
          </w:p>
        </w:tc>
        <w:tc>
          <w:tcPr>
            <w:tcW w:w="55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树立</w:t>
            </w:r>
          </w:p>
        </w:tc>
        <w:tc>
          <w:tcPr>
            <w:tcW w:w="4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8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9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满意度指标</w:t>
            </w:r>
          </w:p>
        </w:tc>
        <w:tc>
          <w:tcPr>
            <w:tcW w:w="52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服务对象满意度指标</w:t>
            </w:r>
          </w:p>
        </w:tc>
        <w:tc>
          <w:tcPr>
            <w:tcW w:w="136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人民群众满意度</w:t>
            </w:r>
          </w:p>
        </w:tc>
        <w:tc>
          <w:tcPr>
            <w:tcW w:w="55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≥90%</w:t>
            </w:r>
          </w:p>
        </w:tc>
        <w:tc>
          <w:tcPr>
            <w:tcW w:w="4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8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6" w:hRule="atLeast"/>
          <w:jc w:val="center"/>
        </w:trPr>
        <w:tc>
          <w:tcPr>
            <w:tcW w:w="3266" w:type="pct"/>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总分</w:t>
            </w:r>
          </w:p>
        </w:tc>
        <w:tc>
          <w:tcPr>
            <w:tcW w:w="40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85"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bl>
    <w:p>
      <w:pPr>
        <w:keepNext w:val="0"/>
        <w:keepLines w:val="0"/>
        <w:pageBreakBefore w:val="0"/>
        <w:widowControl/>
        <w:kinsoku/>
        <w:wordWrap/>
        <w:overflowPunct/>
        <w:topLinePunct w:val="0"/>
        <w:autoSpaceDE/>
        <w:autoSpaceDN/>
        <w:bidi w:val="0"/>
        <w:adjustRightInd/>
        <w:spacing w:line="590" w:lineRule="exact"/>
        <w:jc w:val="both"/>
        <w:rPr>
          <w:rFonts w:hint="eastAsia" w:ascii="楷体_GB2312" w:hAnsi="楷体_GB2312" w:eastAsia="楷体_GB2312" w:cs="楷体_GB2312"/>
          <w:b/>
          <w:bCs/>
          <w:sz w:val="32"/>
          <w:szCs w:val="32"/>
          <w:lang w:val="en-US" w:eastAsia="zh-CN"/>
        </w:rPr>
      </w:pPr>
    </w:p>
    <w:tbl>
      <w:tblPr>
        <w:tblStyle w:val="2"/>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32"/>
        <w:gridCol w:w="859"/>
        <w:gridCol w:w="1103"/>
        <w:gridCol w:w="1083"/>
        <w:gridCol w:w="1054"/>
        <w:gridCol w:w="789"/>
        <w:gridCol w:w="774"/>
        <w:gridCol w:w="635"/>
        <w:gridCol w:w="634"/>
        <w:gridCol w:w="105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10"/>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40"/>
                <w:szCs w:val="40"/>
                <w:u w:val="none"/>
              </w:rPr>
            </w:pPr>
            <w:r>
              <w:rPr>
                <w:rFonts w:hint="eastAsia" w:ascii="宋体" w:hAnsi="宋体" w:eastAsia="宋体" w:cs="宋体"/>
                <w:i w:val="0"/>
                <w:iCs w:val="0"/>
                <w:color w:val="000000"/>
                <w:kern w:val="0"/>
                <w:sz w:val="40"/>
                <w:szCs w:val="40"/>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10"/>
            <w:tcBorders>
              <w:top w:val="single" w:color="000000" w:sz="4" w:space="0"/>
              <w:left w:val="single" w:color="000000" w:sz="4" w:space="0"/>
              <w:bottom w:val="single" w:color="000000" w:sz="4" w:space="0"/>
              <w:right w:val="single" w:color="000000" w:sz="4" w:space="0"/>
            </w:tcBorders>
            <w:noWrap w:val="0"/>
            <w:vAlign w:val="top"/>
          </w:tcPr>
          <w:p>
            <w:pPr>
              <w:keepNext/>
              <w:keepLines w:val="0"/>
              <w:pageBreakBefore w:val="0"/>
              <w:widowControl/>
              <w:suppressLineNumbers w:val="0"/>
              <w:kinsoku/>
              <w:wordWrap/>
              <w:overflowPunct/>
              <w:topLinePunct w:val="0"/>
              <w:autoSpaceDE/>
              <w:autoSpaceDN/>
              <w:bidi w:val="0"/>
              <w:adjustRightInd/>
              <w:snapToGrid w:val="0"/>
              <w:jc w:val="center"/>
              <w:textAlignment w:val="top"/>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2025年1</w:t>
            </w:r>
            <w:r>
              <w:rPr>
                <w:rFonts w:hint="eastAsia" w:ascii="宋体" w:hAnsi="宋体" w:cs="宋体"/>
                <w:i w:val="0"/>
                <w:iCs w:val="0"/>
                <w:color w:val="000000"/>
                <w:kern w:val="0"/>
                <w:sz w:val="14"/>
                <w:szCs w:val="14"/>
                <w:u w:val="none"/>
                <w:lang w:val="en-US" w:eastAsia="zh-CN" w:bidi="ar"/>
              </w:rPr>
              <w:t>0</w:t>
            </w:r>
            <w:r>
              <w:rPr>
                <w:rFonts w:hint="eastAsia" w:ascii="宋体" w:hAnsi="宋体" w:eastAsia="宋体" w:cs="宋体"/>
                <w:i w:val="0"/>
                <w:iCs w:val="0"/>
                <w:color w:val="000000"/>
                <w:kern w:val="0"/>
                <w:sz w:val="14"/>
                <w:szCs w:val="14"/>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16"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项目名称</w:t>
            </w:r>
          </w:p>
        </w:tc>
        <w:tc>
          <w:tcPr>
            <w:tcW w:w="4183" w:type="pct"/>
            <w:gridSpan w:val="8"/>
            <w:tcBorders>
              <w:top w:val="single" w:color="000000" w:sz="4" w:space="0"/>
              <w:left w:val="single" w:color="000000" w:sz="4" w:space="0"/>
              <w:bottom w:val="single" w:color="000000" w:sz="4" w:space="0"/>
              <w:right w:val="single" w:color="000000" w:sz="4" w:space="0"/>
            </w:tcBorders>
            <w:noWrap w:val="0"/>
            <w:vAlign w:val="top"/>
          </w:tcPr>
          <w:p>
            <w:pPr>
              <w:keepNext/>
              <w:keepLines w:val="0"/>
              <w:pageBreakBefore w:val="0"/>
              <w:widowControl/>
              <w:suppressLineNumbers w:val="0"/>
              <w:kinsoku/>
              <w:wordWrap/>
              <w:overflowPunct/>
              <w:topLinePunct w:val="0"/>
              <w:autoSpaceDE/>
              <w:autoSpaceDN/>
              <w:bidi w:val="0"/>
              <w:adjustRightInd/>
              <w:snapToGrid w:val="0"/>
              <w:jc w:val="center"/>
              <w:textAlignment w:val="top"/>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2024年文明城市创建工作经费（预算内）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16"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主管部门</w:t>
            </w:r>
          </w:p>
        </w:tc>
        <w:tc>
          <w:tcPr>
            <w:tcW w:w="1283"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中共郸城县委宣传部</w:t>
            </w:r>
          </w:p>
        </w:tc>
        <w:tc>
          <w:tcPr>
            <w:tcW w:w="1082"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实施单位</w:t>
            </w:r>
          </w:p>
        </w:tc>
        <w:tc>
          <w:tcPr>
            <w:tcW w:w="1817" w:type="pct"/>
            <w:gridSpan w:val="4"/>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中共郸城县委宣传部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16"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项目资金                (万元)</w:t>
            </w:r>
          </w:p>
        </w:tc>
        <w:tc>
          <w:tcPr>
            <w:tcW w:w="647"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635"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年初预算数</w:t>
            </w:r>
          </w:p>
        </w:tc>
        <w:tc>
          <w:tcPr>
            <w:tcW w:w="618"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全年预算数</w:t>
            </w:r>
          </w:p>
        </w:tc>
        <w:tc>
          <w:tcPr>
            <w:tcW w:w="463"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全年执行数</w:t>
            </w:r>
          </w:p>
        </w:tc>
        <w:tc>
          <w:tcPr>
            <w:tcW w:w="454"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分值</w:t>
            </w:r>
          </w:p>
        </w:tc>
        <w:tc>
          <w:tcPr>
            <w:tcW w:w="372"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执行率</w:t>
            </w:r>
          </w:p>
        </w:tc>
        <w:tc>
          <w:tcPr>
            <w:tcW w:w="990"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16"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647"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  年度资金总额：</w:t>
            </w:r>
          </w:p>
        </w:tc>
        <w:tc>
          <w:tcPr>
            <w:tcW w:w="635"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45</w:t>
            </w:r>
          </w:p>
        </w:tc>
        <w:tc>
          <w:tcPr>
            <w:tcW w:w="618"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7</w:t>
            </w:r>
          </w:p>
        </w:tc>
        <w:tc>
          <w:tcPr>
            <w:tcW w:w="463"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454"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w:t>
            </w:r>
          </w:p>
        </w:tc>
        <w:tc>
          <w:tcPr>
            <w:tcW w:w="372"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0.0 %</w:t>
            </w:r>
          </w:p>
        </w:tc>
        <w:tc>
          <w:tcPr>
            <w:tcW w:w="990"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16"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647"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财政拨款</w:t>
            </w:r>
          </w:p>
        </w:tc>
        <w:tc>
          <w:tcPr>
            <w:tcW w:w="635"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45</w:t>
            </w:r>
          </w:p>
        </w:tc>
        <w:tc>
          <w:tcPr>
            <w:tcW w:w="618"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7</w:t>
            </w:r>
          </w:p>
        </w:tc>
        <w:tc>
          <w:tcPr>
            <w:tcW w:w="463"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454"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372"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0.0 %</w:t>
            </w:r>
          </w:p>
        </w:tc>
        <w:tc>
          <w:tcPr>
            <w:tcW w:w="990"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16"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647"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财政专户管理资金</w:t>
            </w:r>
          </w:p>
        </w:tc>
        <w:tc>
          <w:tcPr>
            <w:tcW w:w="635"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618"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463"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454"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372"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0.00%</w:t>
            </w:r>
          </w:p>
        </w:tc>
        <w:tc>
          <w:tcPr>
            <w:tcW w:w="990"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16"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647"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单位资金</w:t>
            </w:r>
          </w:p>
        </w:tc>
        <w:tc>
          <w:tcPr>
            <w:tcW w:w="635"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618"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463"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454"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372"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0.00%</w:t>
            </w:r>
          </w:p>
        </w:tc>
        <w:tc>
          <w:tcPr>
            <w:tcW w:w="990"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16"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资金管理情况</w:t>
            </w:r>
          </w:p>
        </w:tc>
        <w:tc>
          <w:tcPr>
            <w:tcW w:w="1283" w:type="pct"/>
            <w:gridSpan w:val="2"/>
            <w:tcBorders>
              <w:top w:val="single" w:color="000000" w:sz="4" w:space="0"/>
              <w:left w:val="nil"/>
              <w:bottom w:val="single" w:color="000000" w:sz="4" w:space="0"/>
              <w:right w:val="single" w:color="000000" w:sz="4" w:space="0"/>
            </w:tcBorders>
            <w:noWrap/>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082"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情况说明</w:t>
            </w:r>
          </w:p>
        </w:tc>
        <w:tc>
          <w:tcPr>
            <w:tcW w:w="454"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分值（20）</w:t>
            </w:r>
          </w:p>
        </w:tc>
        <w:tc>
          <w:tcPr>
            <w:tcW w:w="372"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得分</w:t>
            </w:r>
          </w:p>
        </w:tc>
        <w:tc>
          <w:tcPr>
            <w:tcW w:w="990" w:type="pct"/>
            <w:gridSpan w:val="2"/>
            <w:tcBorders>
              <w:top w:val="single" w:color="000000" w:sz="4" w:space="0"/>
              <w:left w:val="nil"/>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16"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283" w:type="pct"/>
            <w:gridSpan w:val="2"/>
            <w:tcBorders>
              <w:top w:val="single" w:color="000000" w:sz="4" w:space="0"/>
              <w:left w:val="nil"/>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安排科学性</w:t>
            </w:r>
          </w:p>
        </w:tc>
        <w:tc>
          <w:tcPr>
            <w:tcW w:w="1082"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54"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5</w:t>
            </w:r>
          </w:p>
        </w:tc>
        <w:tc>
          <w:tcPr>
            <w:tcW w:w="372"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990" w:type="pct"/>
            <w:gridSpan w:val="2"/>
            <w:tcBorders>
              <w:top w:val="single" w:color="000000" w:sz="4" w:space="0"/>
              <w:left w:val="nil"/>
              <w:bottom w:val="single" w:color="000000" w:sz="4" w:space="0"/>
              <w:right w:val="single" w:color="000000" w:sz="4" w:space="0"/>
            </w:tcBorders>
            <w:noWrap/>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16"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283" w:type="pct"/>
            <w:gridSpan w:val="2"/>
            <w:tcBorders>
              <w:top w:val="single" w:color="000000" w:sz="4" w:space="0"/>
              <w:left w:val="nil"/>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拨付合规性</w:t>
            </w:r>
          </w:p>
        </w:tc>
        <w:tc>
          <w:tcPr>
            <w:tcW w:w="1082"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54"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5</w:t>
            </w:r>
          </w:p>
        </w:tc>
        <w:tc>
          <w:tcPr>
            <w:tcW w:w="372"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990" w:type="pct"/>
            <w:gridSpan w:val="2"/>
            <w:tcBorders>
              <w:top w:val="single" w:color="000000" w:sz="4" w:space="0"/>
              <w:left w:val="nil"/>
              <w:bottom w:val="single" w:color="000000" w:sz="4" w:space="0"/>
              <w:right w:val="single" w:color="000000" w:sz="4" w:space="0"/>
            </w:tcBorders>
            <w:noWrap/>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16"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283" w:type="pct"/>
            <w:gridSpan w:val="2"/>
            <w:tcBorders>
              <w:top w:val="single" w:color="000000" w:sz="4" w:space="0"/>
              <w:left w:val="nil"/>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使用规范性</w:t>
            </w:r>
          </w:p>
        </w:tc>
        <w:tc>
          <w:tcPr>
            <w:tcW w:w="1082"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54"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5</w:t>
            </w:r>
          </w:p>
        </w:tc>
        <w:tc>
          <w:tcPr>
            <w:tcW w:w="372"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990" w:type="pct"/>
            <w:gridSpan w:val="2"/>
            <w:tcBorders>
              <w:top w:val="single" w:color="000000" w:sz="4" w:space="0"/>
              <w:left w:val="nil"/>
              <w:bottom w:val="single" w:color="000000" w:sz="4" w:space="0"/>
              <w:right w:val="single" w:color="000000" w:sz="4" w:space="0"/>
            </w:tcBorders>
            <w:noWrap/>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16"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283" w:type="pct"/>
            <w:gridSpan w:val="2"/>
            <w:tcBorders>
              <w:top w:val="single" w:color="000000" w:sz="4" w:space="0"/>
              <w:left w:val="nil"/>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预算绩效管理情况</w:t>
            </w:r>
          </w:p>
        </w:tc>
        <w:tc>
          <w:tcPr>
            <w:tcW w:w="1082" w:type="pct"/>
            <w:gridSpan w:val="2"/>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54"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5</w:t>
            </w:r>
          </w:p>
        </w:tc>
        <w:tc>
          <w:tcPr>
            <w:tcW w:w="372" w:type="pct"/>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990" w:type="pct"/>
            <w:gridSpan w:val="2"/>
            <w:tcBorders>
              <w:top w:val="single" w:color="000000" w:sz="4" w:space="0"/>
              <w:left w:val="nil"/>
              <w:bottom w:val="single" w:color="000000" w:sz="4" w:space="0"/>
              <w:right w:val="single" w:color="000000" w:sz="4" w:space="0"/>
            </w:tcBorders>
            <w:noWrap/>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1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年度总体目标</w:t>
            </w:r>
          </w:p>
        </w:tc>
        <w:tc>
          <w:tcPr>
            <w:tcW w:w="1787"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预期目标</w:t>
            </w:r>
          </w:p>
        </w:tc>
        <w:tc>
          <w:tcPr>
            <w:tcW w:w="2899" w:type="pct"/>
            <w:gridSpan w:val="6"/>
            <w:tcBorders>
              <w:top w:val="single" w:color="000000" w:sz="4" w:space="0"/>
              <w:left w:val="single" w:color="000000" w:sz="4" w:space="0"/>
              <w:bottom w:val="single" w:color="000000" w:sz="4" w:space="0"/>
              <w:right w:val="single" w:color="000000" w:sz="4" w:space="0"/>
            </w:tcBorders>
            <w:noWrap/>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1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787" w:type="pct"/>
            <w:gridSpan w:val="3"/>
            <w:tcBorders>
              <w:top w:val="single" w:color="000000" w:sz="4" w:space="0"/>
              <w:left w:val="single" w:color="000000" w:sz="4" w:space="0"/>
              <w:bottom w:val="single" w:color="000000" w:sz="4" w:space="0"/>
              <w:right w:val="single" w:color="000000" w:sz="4" w:space="0"/>
            </w:tcBorders>
            <w:noWrap w:val="0"/>
            <w:vAlign w:val="top"/>
          </w:tcPr>
          <w:p>
            <w:pPr>
              <w:keepNext/>
              <w:keepLines w:val="0"/>
              <w:pageBreakBefore w:val="0"/>
              <w:widowControl/>
              <w:suppressLineNumbers w:val="0"/>
              <w:kinsoku/>
              <w:wordWrap/>
              <w:overflowPunct/>
              <w:topLinePunct w:val="0"/>
              <w:autoSpaceDE/>
              <w:autoSpaceDN/>
              <w:bidi w:val="0"/>
              <w:adjustRightInd/>
              <w:snapToGrid w:val="0"/>
              <w:jc w:val="center"/>
              <w:textAlignment w:val="top"/>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1、加大外宣力度，树立郸城良好对外形象。 </w:t>
            </w:r>
            <w:r>
              <w:rPr>
                <w:rFonts w:hint="eastAsia" w:ascii="宋体" w:hAnsi="宋体" w:eastAsia="宋体" w:cs="宋体"/>
                <w:i w:val="0"/>
                <w:iCs w:val="0"/>
                <w:color w:val="000000"/>
                <w:kern w:val="0"/>
                <w:sz w:val="14"/>
                <w:szCs w:val="14"/>
                <w:u w:val="none"/>
                <w:lang w:val="en-US" w:eastAsia="zh-CN" w:bidi="ar"/>
              </w:rPr>
              <w:br w:type="textWrapping"/>
            </w:r>
            <w:r>
              <w:rPr>
                <w:rFonts w:hint="eastAsia" w:ascii="宋体" w:hAnsi="宋体" w:eastAsia="宋体" w:cs="宋体"/>
                <w:i w:val="0"/>
                <w:iCs w:val="0"/>
                <w:color w:val="000000"/>
                <w:kern w:val="0"/>
                <w:sz w:val="14"/>
                <w:szCs w:val="14"/>
                <w:u w:val="none"/>
                <w:lang w:val="en-US" w:eastAsia="zh-CN" w:bidi="ar"/>
              </w:rPr>
              <w:t>2、提升创城宣传力度，提升城市质量。</w:t>
            </w:r>
          </w:p>
        </w:tc>
        <w:tc>
          <w:tcPr>
            <w:tcW w:w="2899" w:type="pct"/>
            <w:gridSpan w:val="6"/>
            <w:tcBorders>
              <w:top w:val="single" w:color="000000" w:sz="4" w:space="0"/>
              <w:left w:val="single" w:color="000000" w:sz="4" w:space="0"/>
              <w:bottom w:val="single" w:color="000000" w:sz="4" w:space="0"/>
              <w:right w:val="single" w:color="000000" w:sz="4" w:space="0"/>
            </w:tcBorders>
            <w:noWrap/>
            <w:vAlign w:val="top"/>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000" w:type="pct"/>
            <w:gridSpan w:val="10"/>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000" w:type="pct"/>
            <w:gridSpan w:val="10"/>
            <w:vMerge w:val="continue"/>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31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一级指标</w:t>
            </w:r>
          </w:p>
        </w:tc>
        <w:tc>
          <w:tcPr>
            <w:tcW w:w="50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二级指标</w:t>
            </w:r>
          </w:p>
        </w:tc>
        <w:tc>
          <w:tcPr>
            <w:tcW w:w="1283"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三级指标</w:t>
            </w:r>
          </w:p>
        </w:tc>
        <w:tc>
          <w:tcPr>
            <w:tcW w:w="618"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年度指标值</w:t>
            </w:r>
          </w:p>
        </w:tc>
        <w:tc>
          <w:tcPr>
            <w:tcW w:w="463"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实际值完成值</w:t>
            </w:r>
          </w:p>
        </w:tc>
        <w:tc>
          <w:tcPr>
            <w:tcW w:w="45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分值</w:t>
            </w:r>
          </w:p>
        </w:tc>
        <w:tc>
          <w:tcPr>
            <w:tcW w:w="37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得分</w:t>
            </w:r>
          </w:p>
        </w:tc>
        <w:tc>
          <w:tcPr>
            <w:tcW w:w="37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偏差度</w:t>
            </w:r>
          </w:p>
        </w:tc>
        <w:tc>
          <w:tcPr>
            <w:tcW w:w="618"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31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04"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283"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618"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54"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618"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12"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成本指标</w:t>
            </w:r>
          </w:p>
        </w:tc>
        <w:tc>
          <w:tcPr>
            <w:tcW w:w="504"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经济成本指标</w:t>
            </w:r>
          </w:p>
        </w:tc>
        <w:tc>
          <w:tcPr>
            <w:tcW w:w="128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文明城创建等经费投入</w:t>
            </w:r>
          </w:p>
        </w:tc>
        <w:tc>
          <w:tcPr>
            <w:tcW w:w="618"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=45万元</w:t>
            </w: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618"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1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产出指标</w:t>
            </w:r>
          </w:p>
        </w:tc>
        <w:tc>
          <w:tcPr>
            <w:tcW w:w="504"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数量指标</w:t>
            </w:r>
          </w:p>
        </w:tc>
        <w:tc>
          <w:tcPr>
            <w:tcW w:w="128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创城宣传次数</w:t>
            </w:r>
          </w:p>
        </w:tc>
        <w:tc>
          <w:tcPr>
            <w:tcW w:w="618"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≥4次</w:t>
            </w: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618"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1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04"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质量指标</w:t>
            </w:r>
          </w:p>
        </w:tc>
        <w:tc>
          <w:tcPr>
            <w:tcW w:w="128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提升城市宣传合格率</w:t>
            </w:r>
          </w:p>
        </w:tc>
        <w:tc>
          <w:tcPr>
            <w:tcW w:w="618"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618"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1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04"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时效指标</w:t>
            </w:r>
          </w:p>
        </w:tc>
        <w:tc>
          <w:tcPr>
            <w:tcW w:w="128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按时完成国家级文明城提名城创建</w:t>
            </w:r>
          </w:p>
        </w:tc>
        <w:tc>
          <w:tcPr>
            <w:tcW w:w="618"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按时</w:t>
            </w: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618"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12"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效益指标</w:t>
            </w:r>
          </w:p>
        </w:tc>
        <w:tc>
          <w:tcPr>
            <w:tcW w:w="504"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社会效益指标</w:t>
            </w:r>
          </w:p>
        </w:tc>
        <w:tc>
          <w:tcPr>
            <w:tcW w:w="128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树立郸城良好对外形象</w:t>
            </w:r>
          </w:p>
        </w:tc>
        <w:tc>
          <w:tcPr>
            <w:tcW w:w="618"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树立</w:t>
            </w: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618"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12"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满意度指标</w:t>
            </w:r>
          </w:p>
        </w:tc>
        <w:tc>
          <w:tcPr>
            <w:tcW w:w="504"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服务对象满意度指标</w:t>
            </w:r>
          </w:p>
        </w:tc>
        <w:tc>
          <w:tcPr>
            <w:tcW w:w="1283"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人民群众满意度</w:t>
            </w:r>
          </w:p>
        </w:tc>
        <w:tc>
          <w:tcPr>
            <w:tcW w:w="618"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≥90%</w:t>
            </w: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54"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618"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182" w:type="pct"/>
            <w:gridSpan w:val="6"/>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总分</w:t>
            </w:r>
          </w:p>
        </w:tc>
        <w:tc>
          <w:tcPr>
            <w:tcW w:w="454"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618" w:type="pct"/>
            <w:tcBorders>
              <w:top w:val="single" w:color="000000" w:sz="4" w:space="0"/>
              <w:left w:val="single" w:color="000000" w:sz="4" w:space="0"/>
              <w:bottom w:val="single" w:color="000000" w:sz="4" w:space="0"/>
              <w:right w:val="single" w:color="000000" w:sz="4" w:space="0"/>
            </w:tcBorders>
            <w:noWrap w:val="0"/>
            <w:vAlign w:val="center"/>
          </w:tcPr>
          <w:p>
            <w:pPr>
              <w:keepNext/>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bl>
    <w:p>
      <w:pPr>
        <w:keepNext w:val="0"/>
        <w:keepLines w:val="0"/>
        <w:pageBreakBefore w:val="0"/>
        <w:widowControl/>
        <w:kinsoku/>
        <w:wordWrap/>
        <w:overflowPunct/>
        <w:topLinePunct w:val="0"/>
        <w:autoSpaceDE/>
        <w:autoSpaceDN/>
        <w:bidi w:val="0"/>
        <w:adjustRightInd/>
        <w:spacing w:line="590" w:lineRule="exact"/>
        <w:jc w:val="both"/>
        <w:rPr>
          <w:rFonts w:hint="eastAsia" w:ascii="楷体_GB2312" w:hAnsi="楷体_GB2312" w:eastAsia="楷体_GB2312" w:cs="楷体_GB2312"/>
          <w:b/>
          <w:bCs/>
          <w:sz w:val="32"/>
          <w:szCs w:val="32"/>
          <w:lang w:val="en-US" w:eastAsia="zh-CN"/>
        </w:rPr>
      </w:pPr>
    </w:p>
    <w:tbl>
      <w:tblPr>
        <w:tblStyle w:val="2"/>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34"/>
        <w:gridCol w:w="668"/>
        <w:gridCol w:w="1274"/>
        <w:gridCol w:w="1298"/>
        <w:gridCol w:w="848"/>
        <w:gridCol w:w="749"/>
        <w:gridCol w:w="915"/>
        <w:gridCol w:w="635"/>
        <w:gridCol w:w="634"/>
        <w:gridCol w:w="96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10"/>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40"/>
                <w:szCs w:val="40"/>
                <w:u w:val="none"/>
              </w:rPr>
            </w:pPr>
            <w:r>
              <w:rPr>
                <w:rFonts w:hint="eastAsia" w:ascii="宋体" w:hAnsi="宋体" w:eastAsia="宋体" w:cs="宋体"/>
                <w:i w:val="0"/>
                <w:iCs w:val="0"/>
                <w:color w:val="000000"/>
                <w:kern w:val="0"/>
                <w:sz w:val="40"/>
                <w:szCs w:val="40"/>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10"/>
            <w:tcBorders>
              <w:top w:val="single" w:color="000000" w:sz="4" w:space="0"/>
              <w:left w:val="single" w:color="000000" w:sz="4" w:space="0"/>
              <w:bottom w:val="single" w:color="000000" w:sz="4" w:space="0"/>
              <w:right w:val="single" w:color="000000" w:sz="4" w:space="0"/>
            </w:tcBorders>
            <w:noWrap w:val="0"/>
            <w:vAlign w:val="top"/>
          </w:tcPr>
          <w:p>
            <w:pPr>
              <w:keepNext w:val="0"/>
              <w:keepLines w:val="0"/>
              <w:pageBreakBefore w:val="0"/>
              <w:widowControl/>
              <w:suppressLineNumbers w:val="0"/>
              <w:kinsoku/>
              <w:wordWrap/>
              <w:overflowPunct/>
              <w:topLinePunct w:val="0"/>
              <w:autoSpaceDE/>
              <w:autoSpaceDN/>
              <w:bidi w:val="0"/>
              <w:adjustRightInd/>
              <w:snapToGrid w:val="0"/>
              <w:jc w:val="center"/>
              <w:textAlignment w:val="top"/>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2025年1</w:t>
            </w:r>
            <w:r>
              <w:rPr>
                <w:rFonts w:hint="eastAsia" w:ascii="宋体" w:hAnsi="宋体" w:cs="宋体"/>
                <w:i w:val="0"/>
                <w:iCs w:val="0"/>
                <w:color w:val="000000"/>
                <w:kern w:val="0"/>
                <w:sz w:val="14"/>
                <w:szCs w:val="14"/>
                <w:u w:val="none"/>
                <w:lang w:val="en-US" w:eastAsia="zh-CN" w:bidi="ar"/>
              </w:rPr>
              <w:t>0</w:t>
            </w:r>
            <w:r>
              <w:rPr>
                <w:rFonts w:hint="eastAsia" w:ascii="宋体" w:hAnsi="宋体" w:eastAsia="宋体" w:cs="宋体"/>
                <w:i w:val="0"/>
                <w:iCs w:val="0"/>
                <w:color w:val="000000"/>
                <w:kern w:val="0"/>
                <w:sz w:val="14"/>
                <w:szCs w:val="14"/>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项目名称</w:t>
            </w:r>
          </w:p>
        </w:tc>
        <w:tc>
          <w:tcPr>
            <w:tcW w:w="4294" w:type="pct"/>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pageBreakBefore w:val="0"/>
              <w:widowControl/>
              <w:suppressLineNumbers w:val="0"/>
              <w:kinsoku/>
              <w:wordWrap/>
              <w:overflowPunct/>
              <w:topLinePunct w:val="0"/>
              <w:autoSpaceDE/>
              <w:autoSpaceDN/>
              <w:bidi w:val="0"/>
              <w:adjustRightInd/>
              <w:snapToGrid w:val="0"/>
              <w:jc w:val="center"/>
              <w:textAlignment w:val="top"/>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2024年中央补助地方国家电影事业发展专项资金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主管部门</w:t>
            </w:r>
          </w:p>
        </w:tc>
        <w:tc>
          <w:tcPr>
            <w:tcW w:w="151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中共郸城县委宣传部</w:t>
            </w:r>
          </w:p>
        </w:tc>
        <w:tc>
          <w:tcPr>
            <w:tcW w:w="93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实施单位</w:t>
            </w:r>
          </w:p>
        </w:tc>
        <w:tc>
          <w:tcPr>
            <w:tcW w:w="1846"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中共郸城县委宣传部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5"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项目资金                (万元)</w:t>
            </w:r>
          </w:p>
        </w:tc>
        <w:tc>
          <w:tcPr>
            <w:tcW w:w="74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76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年初预算数</w:t>
            </w:r>
          </w:p>
        </w:tc>
        <w:tc>
          <w:tcPr>
            <w:tcW w:w="49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全年预算数</w:t>
            </w:r>
          </w:p>
        </w:tc>
        <w:tc>
          <w:tcPr>
            <w:tcW w:w="43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全年执行数</w:t>
            </w:r>
          </w:p>
        </w:tc>
        <w:tc>
          <w:tcPr>
            <w:tcW w:w="5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分值</w:t>
            </w:r>
          </w:p>
        </w:tc>
        <w:tc>
          <w:tcPr>
            <w:tcW w:w="37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执行率</w:t>
            </w:r>
          </w:p>
        </w:tc>
        <w:tc>
          <w:tcPr>
            <w:tcW w:w="93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5"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74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  年度资金总额：</w:t>
            </w:r>
          </w:p>
        </w:tc>
        <w:tc>
          <w:tcPr>
            <w:tcW w:w="76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33</w:t>
            </w:r>
          </w:p>
        </w:tc>
        <w:tc>
          <w:tcPr>
            <w:tcW w:w="49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33</w:t>
            </w:r>
          </w:p>
        </w:tc>
        <w:tc>
          <w:tcPr>
            <w:tcW w:w="43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5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w:t>
            </w:r>
          </w:p>
        </w:tc>
        <w:tc>
          <w:tcPr>
            <w:tcW w:w="37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0.0 %</w:t>
            </w:r>
          </w:p>
        </w:tc>
        <w:tc>
          <w:tcPr>
            <w:tcW w:w="93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5"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74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财政拨款</w:t>
            </w:r>
          </w:p>
        </w:tc>
        <w:tc>
          <w:tcPr>
            <w:tcW w:w="76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33</w:t>
            </w:r>
          </w:p>
        </w:tc>
        <w:tc>
          <w:tcPr>
            <w:tcW w:w="49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33</w:t>
            </w:r>
          </w:p>
        </w:tc>
        <w:tc>
          <w:tcPr>
            <w:tcW w:w="43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5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37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0.0 %</w:t>
            </w:r>
          </w:p>
        </w:tc>
        <w:tc>
          <w:tcPr>
            <w:tcW w:w="93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5"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74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财政专户管理资金</w:t>
            </w:r>
          </w:p>
        </w:tc>
        <w:tc>
          <w:tcPr>
            <w:tcW w:w="76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49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43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5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37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0.00%</w:t>
            </w:r>
          </w:p>
        </w:tc>
        <w:tc>
          <w:tcPr>
            <w:tcW w:w="93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5"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74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单位资金</w:t>
            </w:r>
          </w:p>
        </w:tc>
        <w:tc>
          <w:tcPr>
            <w:tcW w:w="76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49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43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5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37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0.00%</w:t>
            </w:r>
          </w:p>
        </w:tc>
        <w:tc>
          <w:tcPr>
            <w:tcW w:w="93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5"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资金管理情况</w:t>
            </w:r>
          </w:p>
        </w:tc>
        <w:tc>
          <w:tcPr>
            <w:tcW w:w="1510" w:type="pct"/>
            <w:gridSpan w:val="2"/>
            <w:tcBorders>
              <w:top w:val="single" w:color="000000" w:sz="4" w:space="0"/>
              <w:left w:val="nil"/>
              <w:bottom w:val="single" w:color="000000" w:sz="4" w:space="0"/>
              <w:right w:val="single" w:color="000000" w:sz="4" w:space="0"/>
            </w:tcBorders>
            <w:noWrap/>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93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情况说明</w:t>
            </w:r>
          </w:p>
        </w:tc>
        <w:tc>
          <w:tcPr>
            <w:tcW w:w="5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分值（20）</w:t>
            </w:r>
          </w:p>
        </w:tc>
        <w:tc>
          <w:tcPr>
            <w:tcW w:w="37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得分</w:t>
            </w:r>
          </w:p>
        </w:tc>
        <w:tc>
          <w:tcPr>
            <w:tcW w:w="936" w:type="pct"/>
            <w:gridSpan w:val="2"/>
            <w:tcBorders>
              <w:top w:val="single" w:color="000000" w:sz="4" w:space="0"/>
              <w:left w:val="nil"/>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5"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510" w:type="pct"/>
            <w:gridSpan w:val="2"/>
            <w:tcBorders>
              <w:top w:val="single" w:color="000000" w:sz="4" w:space="0"/>
              <w:left w:val="nil"/>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安排科学性</w:t>
            </w:r>
          </w:p>
        </w:tc>
        <w:tc>
          <w:tcPr>
            <w:tcW w:w="93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5</w:t>
            </w:r>
          </w:p>
        </w:tc>
        <w:tc>
          <w:tcPr>
            <w:tcW w:w="37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936" w:type="pct"/>
            <w:gridSpan w:val="2"/>
            <w:tcBorders>
              <w:top w:val="single" w:color="000000" w:sz="4" w:space="0"/>
              <w:left w:val="nil"/>
              <w:bottom w:val="single" w:color="000000" w:sz="4" w:space="0"/>
              <w:right w:val="single" w:color="000000" w:sz="4" w:space="0"/>
            </w:tcBorders>
            <w:noWrap/>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5"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510" w:type="pct"/>
            <w:gridSpan w:val="2"/>
            <w:tcBorders>
              <w:top w:val="single" w:color="000000" w:sz="4" w:space="0"/>
              <w:left w:val="nil"/>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拨付合规性</w:t>
            </w:r>
          </w:p>
        </w:tc>
        <w:tc>
          <w:tcPr>
            <w:tcW w:w="93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5</w:t>
            </w:r>
          </w:p>
        </w:tc>
        <w:tc>
          <w:tcPr>
            <w:tcW w:w="37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936" w:type="pct"/>
            <w:gridSpan w:val="2"/>
            <w:tcBorders>
              <w:top w:val="single" w:color="000000" w:sz="4" w:space="0"/>
              <w:left w:val="nil"/>
              <w:bottom w:val="single" w:color="000000" w:sz="4" w:space="0"/>
              <w:right w:val="single" w:color="000000" w:sz="4" w:space="0"/>
            </w:tcBorders>
            <w:noWrap/>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5"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510" w:type="pct"/>
            <w:gridSpan w:val="2"/>
            <w:tcBorders>
              <w:top w:val="single" w:color="000000" w:sz="4" w:space="0"/>
              <w:left w:val="nil"/>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使用规范性</w:t>
            </w:r>
          </w:p>
        </w:tc>
        <w:tc>
          <w:tcPr>
            <w:tcW w:w="93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5</w:t>
            </w:r>
          </w:p>
        </w:tc>
        <w:tc>
          <w:tcPr>
            <w:tcW w:w="37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936" w:type="pct"/>
            <w:gridSpan w:val="2"/>
            <w:tcBorders>
              <w:top w:val="single" w:color="000000" w:sz="4" w:space="0"/>
              <w:left w:val="nil"/>
              <w:bottom w:val="single" w:color="000000" w:sz="4" w:space="0"/>
              <w:right w:val="single" w:color="000000" w:sz="4" w:space="0"/>
            </w:tcBorders>
            <w:noWrap/>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5"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510" w:type="pct"/>
            <w:gridSpan w:val="2"/>
            <w:tcBorders>
              <w:top w:val="single" w:color="000000" w:sz="4" w:space="0"/>
              <w:left w:val="nil"/>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预算绩效管理情况</w:t>
            </w:r>
          </w:p>
        </w:tc>
        <w:tc>
          <w:tcPr>
            <w:tcW w:w="937"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5</w:t>
            </w:r>
          </w:p>
        </w:tc>
        <w:tc>
          <w:tcPr>
            <w:tcW w:w="37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936" w:type="pct"/>
            <w:gridSpan w:val="2"/>
            <w:tcBorders>
              <w:top w:val="single" w:color="000000" w:sz="4" w:space="0"/>
              <w:left w:val="nil"/>
              <w:bottom w:val="single" w:color="000000" w:sz="4" w:space="0"/>
              <w:right w:val="single" w:color="000000" w:sz="4" w:space="0"/>
            </w:tcBorders>
            <w:noWrap/>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5"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年度总体目标</w:t>
            </w:r>
          </w:p>
        </w:tc>
        <w:tc>
          <w:tcPr>
            <w:tcW w:w="151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预期目标</w:t>
            </w:r>
          </w:p>
        </w:tc>
        <w:tc>
          <w:tcPr>
            <w:tcW w:w="2784"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05"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510" w:type="pct"/>
            <w:gridSpan w:val="2"/>
            <w:tcBorders>
              <w:top w:val="single" w:color="000000" w:sz="4" w:space="0"/>
              <w:left w:val="single" w:color="000000" w:sz="4" w:space="0"/>
              <w:bottom w:val="single" w:color="000000" w:sz="4" w:space="0"/>
              <w:right w:val="single" w:color="000000" w:sz="4" w:space="0"/>
            </w:tcBorders>
            <w:noWrap w:val="0"/>
            <w:vAlign w:val="top"/>
          </w:tcPr>
          <w:p>
            <w:pPr>
              <w:keepNext w:val="0"/>
              <w:keepLines w:val="0"/>
              <w:pageBreakBefore w:val="0"/>
              <w:widowControl/>
              <w:suppressLineNumbers w:val="0"/>
              <w:kinsoku/>
              <w:wordWrap/>
              <w:overflowPunct/>
              <w:topLinePunct w:val="0"/>
              <w:autoSpaceDE/>
              <w:autoSpaceDN/>
              <w:bidi w:val="0"/>
              <w:adjustRightInd/>
              <w:snapToGrid w:val="0"/>
              <w:jc w:val="center"/>
              <w:textAlignment w:val="top"/>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中央补助地方国家电影事业发展专项资金，用于我先新建影院，营造良好</w:t>
            </w:r>
          </w:p>
        </w:tc>
        <w:tc>
          <w:tcPr>
            <w:tcW w:w="2784" w:type="pct"/>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000" w:type="pct"/>
            <w:gridSpan w:val="10"/>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000" w:type="pct"/>
            <w:gridSpan w:val="10"/>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313"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一级指标</w:t>
            </w:r>
          </w:p>
        </w:tc>
        <w:tc>
          <w:tcPr>
            <w:tcW w:w="39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二级指标</w:t>
            </w:r>
          </w:p>
        </w:tc>
        <w:tc>
          <w:tcPr>
            <w:tcW w:w="1510"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三级指标</w:t>
            </w:r>
          </w:p>
        </w:tc>
        <w:tc>
          <w:tcPr>
            <w:tcW w:w="49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年度指标值</w:t>
            </w:r>
          </w:p>
        </w:tc>
        <w:tc>
          <w:tcPr>
            <w:tcW w:w="439"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实际值完成值</w:t>
            </w:r>
          </w:p>
        </w:tc>
        <w:tc>
          <w:tcPr>
            <w:tcW w:w="53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分值</w:t>
            </w:r>
          </w:p>
        </w:tc>
        <w:tc>
          <w:tcPr>
            <w:tcW w:w="37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得分</w:t>
            </w:r>
          </w:p>
        </w:tc>
        <w:tc>
          <w:tcPr>
            <w:tcW w:w="37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偏差度</w:t>
            </w:r>
          </w:p>
        </w:tc>
        <w:tc>
          <w:tcPr>
            <w:tcW w:w="56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313"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9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510"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97"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39"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37"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64"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成本指标</w:t>
            </w: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经济成本指标</w:t>
            </w:r>
          </w:p>
        </w:tc>
        <w:tc>
          <w:tcPr>
            <w:tcW w:w="151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补助成本</w:t>
            </w:r>
          </w:p>
        </w:tc>
        <w:tc>
          <w:tcPr>
            <w:tcW w:w="49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≤33万元</w:t>
            </w:r>
          </w:p>
        </w:tc>
        <w:tc>
          <w:tcPr>
            <w:tcW w:w="4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6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13"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产出指标</w:t>
            </w: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数量指标</w:t>
            </w:r>
          </w:p>
        </w:tc>
        <w:tc>
          <w:tcPr>
            <w:tcW w:w="151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补助我县新建影院数量</w:t>
            </w:r>
          </w:p>
        </w:tc>
        <w:tc>
          <w:tcPr>
            <w:tcW w:w="49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=1家</w:t>
            </w:r>
          </w:p>
        </w:tc>
        <w:tc>
          <w:tcPr>
            <w:tcW w:w="4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6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13"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质量指标</w:t>
            </w:r>
          </w:p>
        </w:tc>
        <w:tc>
          <w:tcPr>
            <w:tcW w:w="151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新建影院验收合格率</w:t>
            </w:r>
          </w:p>
        </w:tc>
        <w:tc>
          <w:tcPr>
            <w:tcW w:w="49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4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6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13"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时效指标</w:t>
            </w:r>
          </w:p>
        </w:tc>
        <w:tc>
          <w:tcPr>
            <w:tcW w:w="151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建设及时性</w:t>
            </w:r>
          </w:p>
        </w:tc>
        <w:tc>
          <w:tcPr>
            <w:tcW w:w="49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及时</w:t>
            </w:r>
          </w:p>
        </w:tc>
        <w:tc>
          <w:tcPr>
            <w:tcW w:w="4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6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13"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效益指标</w:t>
            </w: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经济效益指标</w:t>
            </w:r>
          </w:p>
        </w:tc>
        <w:tc>
          <w:tcPr>
            <w:tcW w:w="151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国产影片票房收入占总票房收入比例</w:t>
            </w:r>
          </w:p>
        </w:tc>
        <w:tc>
          <w:tcPr>
            <w:tcW w:w="49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≥95%</w:t>
            </w:r>
          </w:p>
        </w:tc>
        <w:tc>
          <w:tcPr>
            <w:tcW w:w="4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6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13"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社会效益指标</w:t>
            </w:r>
          </w:p>
        </w:tc>
        <w:tc>
          <w:tcPr>
            <w:tcW w:w="151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营造良好观影风气，促进社会和谐进步</w:t>
            </w:r>
          </w:p>
        </w:tc>
        <w:tc>
          <w:tcPr>
            <w:tcW w:w="49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长期</w:t>
            </w:r>
          </w:p>
        </w:tc>
        <w:tc>
          <w:tcPr>
            <w:tcW w:w="4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6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满意度指标</w:t>
            </w:r>
          </w:p>
        </w:tc>
        <w:tc>
          <w:tcPr>
            <w:tcW w:w="39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服务对象满意度指标</w:t>
            </w:r>
          </w:p>
        </w:tc>
        <w:tc>
          <w:tcPr>
            <w:tcW w:w="151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公众满意度</w:t>
            </w:r>
          </w:p>
        </w:tc>
        <w:tc>
          <w:tcPr>
            <w:tcW w:w="49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≥85%</w:t>
            </w:r>
          </w:p>
        </w:tc>
        <w:tc>
          <w:tcPr>
            <w:tcW w:w="43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6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7" w:hRule="atLeast"/>
          <w:jc w:val="center"/>
        </w:trPr>
        <w:tc>
          <w:tcPr>
            <w:tcW w:w="3153" w:type="pct"/>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总分</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6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bl>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w:t>
      </w:r>
      <w:r>
        <w:rPr>
          <w:rFonts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4年度部门整体支出进行绩效自评，得分为</w:t>
      </w:r>
      <w:r>
        <w:rPr>
          <w:rFonts w:hint="eastAsia" w:ascii="仿宋_GB2312" w:hAnsi="仿宋_GB2312" w:eastAsia="仿宋_GB2312" w:cs="仿宋_GB2312"/>
          <w:sz w:val="32"/>
          <w:szCs w:val="32"/>
          <w:highlight w:val="none"/>
          <w:lang w:val="en-US" w:eastAsia="zh-CN"/>
        </w:rPr>
        <w:t>100</w:t>
      </w:r>
      <w:r>
        <w:rPr>
          <w:rFonts w:hint="eastAsia" w:ascii="仿宋" w:hAnsi="仿宋" w:eastAsia="仿宋" w:cs="仿宋"/>
          <w:kern w:val="2"/>
          <w:sz w:val="32"/>
          <w:szCs w:val="32"/>
          <w:lang w:val="en-US" w:eastAsia="zh-CN"/>
        </w:rPr>
        <w:t>分。从自评情况看，各项工作总体完成情况较好，部门履职效能进一步提升。</w:t>
      </w:r>
    </w:p>
    <w:tbl>
      <w:tblPr>
        <w:tblStyle w:val="2"/>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791"/>
        <w:gridCol w:w="936"/>
        <w:gridCol w:w="1918"/>
        <w:gridCol w:w="916"/>
        <w:gridCol w:w="598"/>
        <w:gridCol w:w="433"/>
        <w:gridCol w:w="496"/>
        <w:gridCol w:w="636"/>
        <w:gridCol w:w="79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9"/>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部门整体支出绩效自评情况表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000" w:type="pct"/>
            <w:gridSpan w:val="9"/>
            <w:tcBorders>
              <w:top w:val="single" w:color="000000" w:sz="4" w:space="0"/>
              <w:left w:val="single" w:color="000000" w:sz="4" w:space="0"/>
              <w:bottom w:val="single" w:color="000000" w:sz="4" w:space="0"/>
              <w:right w:val="single" w:color="000000" w:sz="4" w:space="0"/>
            </w:tcBorders>
            <w:noWrap w:val="0"/>
            <w:vAlign w:val="top"/>
          </w:tcPr>
          <w:p>
            <w:pPr>
              <w:keepNext w:val="0"/>
              <w:keepLines w:val="0"/>
              <w:pageBreakBefore w:val="0"/>
              <w:widowControl/>
              <w:suppressLineNumbers w:val="0"/>
              <w:kinsoku/>
              <w:wordWrap/>
              <w:overflowPunct/>
              <w:topLinePunct w:val="0"/>
              <w:autoSpaceDE/>
              <w:autoSpaceDN/>
              <w:bidi w:val="0"/>
              <w:adjustRightInd/>
              <w:snapToGrid w:val="0"/>
              <w:jc w:val="center"/>
              <w:textAlignment w:val="top"/>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2025年1</w:t>
            </w:r>
            <w:r>
              <w:rPr>
                <w:rFonts w:hint="eastAsia" w:ascii="宋体" w:hAnsi="宋体" w:cs="宋体"/>
                <w:i w:val="0"/>
                <w:iCs w:val="0"/>
                <w:color w:val="000000"/>
                <w:kern w:val="0"/>
                <w:sz w:val="14"/>
                <w:szCs w:val="14"/>
                <w:u w:val="none"/>
                <w:lang w:val="en-US" w:eastAsia="zh-CN" w:bidi="ar"/>
              </w:rPr>
              <w:t>0</w:t>
            </w:r>
            <w:r>
              <w:rPr>
                <w:rFonts w:hint="eastAsia" w:ascii="宋体" w:hAnsi="宋体" w:eastAsia="宋体" w:cs="宋体"/>
                <w:i w:val="0"/>
                <w:iCs w:val="0"/>
                <w:color w:val="000000"/>
                <w:kern w:val="0"/>
                <w:sz w:val="14"/>
                <w:szCs w:val="14"/>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602" w:type="pct"/>
            <w:gridSpan w:val="2"/>
            <w:tcBorders>
              <w:top w:val="nil"/>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部门（单位）名称</w:t>
            </w:r>
          </w:p>
        </w:tc>
        <w:tc>
          <w:tcPr>
            <w:tcW w:w="3397" w:type="pct"/>
            <w:gridSpan w:val="7"/>
            <w:tcBorders>
              <w:top w:val="single" w:color="000000" w:sz="4" w:space="0"/>
              <w:left w:val="single" w:color="000000" w:sz="4" w:space="0"/>
              <w:bottom w:val="single" w:color="000000" w:sz="4" w:space="0"/>
              <w:right w:val="single" w:color="000000" w:sz="4" w:space="0"/>
            </w:tcBorders>
            <w:noWrap w:val="0"/>
            <w:vAlign w:val="top"/>
          </w:tcPr>
          <w:p>
            <w:pPr>
              <w:keepNext w:val="0"/>
              <w:keepLines w:val="0"/>
              <w:pageBreakBefore w:val="0"/>
              <w:widowControl/>
              <w:suppressLineNumbers w:val="0"/>
              <w:kinsoku/>
              <w:wordWrap/>
              <w:overflowPunct/>
              <w:topLinePunct w:val="0"/>
              <w:autoSpaceDE/>
              <w:autoSpaceDN/>
              <w:bidi w:val="0"/>
              <w:adjustRightInd/>
              <w:snapToGrid w:val="0"/>
              <w:jc w:val="center"/>
              <w:textAlignment w:val="top"/>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中共郸城县委宣传部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restart"/>
            <w:tcBorders>
              <w:top w:val="single" w:color="000000" w:sz="4" w:space="0"/>
              <w:left w:val="single" w:color="000000" w:sz="4" w:space="0"/>
              <w:bottom w:val="nil"/>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部门整体支出情况(万元)</w:t>
            </w:r>
          </w:p>
        </w:tc>
        <w:tc>
          <w:tcPr>
            <w:tcW w:w="550"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12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年初预算数</w:t>
            </w:r>
          </w:p>
        </w:tc>
        <w:tc>
          <w:tcPr>
            <w:tcW w:w="5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全年预算数</w:t>
            </w:r>
          </w:p>
        </w:tc>
        <w:tc>
          <w:tcPr>
            <w:tcW w:w="60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全年执行数</w:t>
            </w:r>
          </w:p>
        </w:tc>
        <w:tc>
          <w:tcPr>
            <w:tcW w:w="29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分值</w:t>
            </w:r>
          </w:p>
        </w:tc>
        <w:tc>
          <w:tcPr>
            <w:tcW w:w="37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执行率</w:t>
            </w:r>
          </w:p>
        </w:tc>
        <w:tc>
          <w:tcPr>
            <w:tcW w:w="46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nil"/>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部门预算总额</w:t>
            </w:r>
          </w:p>
        </w:tc>
        <w:tc>
          <w:tcPr>
            <w:tcW w:w="112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723.47</w:t>
            </w:r>
          </w:p>
        </w:tc>
        <w:tc>
          <w:tcPr>
            <w:tcW w:w="5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754.08</w:t>
            </w:r>
          </w:p>
        </w:tc>
        <w:tc>
          <w:tcPr>
            <w:tcW w:w="60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29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w:t>
            </w:r>
          </w:p>
        </w:tc>
        <w:tc>
          <w:tcPr>
            <w:tcW w:w="37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0.0 %</w:t>
            </w:r>
          </w:p>
        </w:tc>
        <w:tc>
          <w:tcPr>
            <w:tcW w:w="46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nil"/>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left"/>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     资金来源：（1）财政拨款</w:t>
            </w:r>
          </w:p>
        </w:tc>
        <w:tc>
          <w:tcPr>
            <w:tcW w:w="112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723.47</w:t>
            </w:r>
          </w:p>
        </w:tc>
        <w:tc>
          <w:tcPr>
            <w:tcW w:w="5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754.08</w:t>
            </w:r>
          </w:p>
        </w:tc>
        <w:tc>
          <w:tcPr>
            <w:tcW w:w="60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29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37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0.0 %</w:t>
            </w:r>
          </w:p>
        </w:tc>
        <w:tc>
          <w:tcPr>
            <w:tcW w:w="46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nil"/>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left"/>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       （2）财政专户管理资金</w:t>
            </w:r>
          </w:p>
        </w:tc>
        <w:tc>
          <w:tcPr>
            <w:tcW w:w="112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5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60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29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37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0.00%</w:t>
            </w:r>
          </w:p>
        </w:tc>
        <w:tc>
          <w:tcPr>
            <w:tcW w:w="46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nil"/>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left"/>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              （3）单位资金</w:t>
            </w:r>
          </w:p>
        </w:tc>
        <w:tc>
          <w:tcPr>
            <w:tcW w:w="112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53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605"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w:t>
            </w:r>
          </w:p>
        </w:tc>
        <w:tc>
          <w:tcPr>
            <w:tcW w:w="29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c>
          <w:tcPr>
            <w:tcW w:w="37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0.00%</w:t>
            </w:r>
          </w:p>
        </w:tc>
        <w:tc>
          <w:tcPr>
            <w:tcW w:w="46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年度履职目标</w:t>
            </w:r>
          </w:p>
        </w:tc>
        <w:tc>
          <w:tcPr>
            <w:tcW w:w="2214"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预期目标</w:t>
            </w:r>
          </w:p>
        </w:tc>
        <w:tc>
          <w:tcPr>
            <w:tcW w:w="1733" w:type="pct"/>
            <w:gridSpan w:val="5"/>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            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214" w:type="pct"/>
            <w:gridSpan w:val="3"/>
            <w:tcBorders>
              <w:top w:val="single" w:color="000000" w:sz="4" w:space="0"/>
              <w:left w:val="single" w:color="000000" w:sz="4" w:space="0"/>
              <w:bottom w:val="nil"/>
              <w:right w:val="single" w:color="000000" w:sz="4" w:space="0"/>
            </w:tcBorders>
            <w:noWrap w:val="0"/>
            <w:vAlign w:val="top"/>
          </w:tcPr>
          <w:p>
            <w:pPr>
              <w:keepNext w:val="0"/>
              <w:keepLines w:val="0"/>
              <w:pageBreakBefore w:val="0"/>
              <w:widowControl/>
              <w:suppressLineNumbers w:val="0"/>
              <w:kinsoku/>
              <w:wordWrap/>
              <w:overflowPunct/>
              <w:topLinePunct w:val="0"/>
              <w:autoSpaceDE/>
              <w:autoSpaceDN/>
              <w:bidi w:val="0"/>
              <w:adjustRightInd/>
              <w:snapToGrid w:val="0"/>
              <w:jc w:val="center"/>
              <w:textAlignment w:val="top"/>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目标1：认真落实“第一议题”制度、深入开展党的创新理论宣讲。</w:t>
            </w:r>
            <w:r>
              <w:rPr>
                <w:rFonts w:hint="eastAsia" w:ascii="宋体" w:hAnsi="宋体" w:eastAsia="宋体" w:cs="宋体"/>
                <w:i w:val="0"/>
                <w:iCs w:val="0"/>
                <w:color w:val="000000"/>
                <w:kern w:val="0"/>
                <w:sz w:val="14"/>
                <w:szCs w:val="14"/>
                <w:u w:val="none"/>
                <w:lang w:val="en-US" w:eastAsia="zh-CN" w:bidi="ar"/>
              </w:rPr>
              <w:br w:type="textWrapping"/>
            </w:r>
            <w:r>
              <w:rPr>
                <w:rFonts w:hint="eastAsia" w:ascii="宋体" w:hAnsi="宋体" w:eastAsia="宋体" w:cs="宋体"/>
                <w:i w:val="0"/>
                <w:iCs w:val="0"/>
                <w:color w:val="000000"/>
                <w:kern w:val="0"/>
                <w:sz w:val="14"/>
                <w:szCs w:val="14"/>
                <w:u w:val="none"/>
                <w:lang w:val="en-US" w:eastAsia="zh-CN" w:bidi="ar"/>
              </w:rPr>
              <w:t>目标2：扛牢压实责任、完善工作格局。</w:t>
            </w:r>
            <w:r>
              <w:rPr>
                <w:rFonts w:hint="eastAsia" w:ascii="宋体" w:hAnsi="宋体" w:eastAsia="宋体" w:cs="宋体"/>
                <w:i w:val="0"/>
                <w:iCs w:val="0"/>
                <w:color w:val="000000"/>
                <w:kern w:val="0"/>
                <w:sz w:val="14"/>
                <w:szCs w:val="14"/>
                <w:u w:val="none"/>
                <w:lang w:val="en-US" w:eastAsia="zh-CN" w:bidi="ar"/>
              </w:rPr>
              <w:br w:type="textWrapping"/>
            </w:r>
            <w:r>
              <w:rPr>
                <w:rFonts w:hint="eastAsia" w:ascii="宋体" w:hAnsi="宋体" w:eastAsia="宋体" w:cs="宋体"/>
                <w:i w:val="0"/>
                <w:iCs w:val="0"/>
                <w:color w:val="000000"/>
                <w:kern w:val="0"/>
                <w:sz w:val="14"/>
                <w:szCs w:val="14"/>
                <w:u w:val="none"/>
                <w:lang w:val="en-US" w:eastAsia="zh-CN" w:bidi="ar"/>
              </w:rPr>
              <w:t>目标3：加强内宣管理，汇聚砥砺奋进内生动力。</w:t>
            </w:r>
            <w:r>
              <w:rPr>
                <w:rFonts w:hint="eastAsia" w:ascii="宋体" w:hAnsi="宋体" w:eastAsia="宋体" w:cs="宋体"/>
                <w:i w:val="0"/>
                <w:iCs w:val="0"/>
                <w:color w:val="000000"/>
                <w:kern w:val="0"/>
                <w:sz w:val="14"/>
                <w:szCs w:val="14"/>
                <w:u w:val="none"/>
                <w:lang w:val="en-US" w:eastAsia="zh-CN" w:bidi="ar"/>
              </w:rPr>
              <w:br w:type="textWrapping"/>
            </w:r>
            <w:r>
              <w:rPr>
                <w:rFonts w:hint="eastAsia" w:ascii="宋体" w:hAnsi="宋体" w:eastAsia="宋体" w:cs="宋体"/>
                <w:i w:val="0"/>
                <w:iCs w:val="0"/>
                <w:color w:val="000000"/>
                <w:kern w:val="0"/>
                <w:sz w:val="14"/>
                <w:szCs w:val="14"/>
                <w:u w:val="none"/>
                <w:lang w:val="en-US" w:eastAsia="zh-CN" w:bidi="ar"/>
              </w:rPr>
              <w:t>目标4：加大外宣力度，树立郸城良好对外形象。</w:t>
            </w:r>
            <w:r>
              <w:rPr>
                <w:rFonts w:hint="eastAsia" w:ascii="宋体" w:hAnsi="宋体" w:eastAsia="宋体" w:cs="宋体"/>
                <w:i w:val="0"/>
                <w:iCs w:val="0"/>
                <w:color w:val="000000"/>
                <w:kern w:val="0"/>
                <w:sz w:val="14"/>
                <w:szCs w:val="14"/>
                <w:u w:val="none"/>
                <w:lang w:val="en-US" w:eastAsia="zh-CN" w:bidi="ar"/>
              </w:rPr>
              <w:br w:type="textWrapping"/>
            </w:r>
            <w:r>
              <w:rPr>
                <w:rFonts w:hint="eastAsia" w:ascii="宋体" w:hAnsi="宋体" w:eastAsia="宋体" w:cs="宋体"/>
                <w:i w:val="0"/>
                <w:iCs w:val="0"/>
                <w:color w:val="000000"/>
                <w:kern w:val="0"/>
                <w:sz w:val="14"/>
                <w:szCs w:val="14"/>
                <w:u w:val="none"/>
                <w:lang w:val="en-US" w:eastAsia="zh-CN" w:bidi="ar"/>
              </w:rPr>
              <w:t>目标5：建好用好新时代文明实践中心（所、站）。</w:t>
            </w:r>
          </w:p>
        </w:tc>
        <w:tc>
          <w:tcPr>
            <w:tcW w:w="1733" w:type="pct"/>
            <w:gridSpan w:val="5"/>
            <w:tcBorders>
              <w:top w:val="single" w:color="000000" w:sz="4" w:space="0"/>
              <w:left w:val="single" w:color="000000" w:sz="4" w:space="0"/>
              <w:bottom w:val="nil"/>
              <w:right w:val="single" w:color="000000" w:sz="4" w:space="0"/>
            </w:tcBorders>
            <w:noWrap w:val="0"/>
            <w:vAlign w:val="top"/>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000" w:type="pct"/>
            <w:gridSpan w:val="9"/>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年度主要任务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000" w:type="pct"/>
            <w:gridSpan w:val="9"/>
            <w:vMerge w:val="continue"/>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任务名称</w:t>
            </w:r>
          </w:p>
        </w:tc>
        <w:tc>
          <w:tcPr>
            <w:tcW w:w="2214"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主要内容</w:t>
            </w:r>
          </w:p>
        </w:tc>
        <w:tc>
          <w:tcPr>
            <w:tcW w:w="1733" w:type="pct"/>
            <w:gridSpan w:val="5"/>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1、认真落实“第一议题”制度、深入开展党的创新理论宣讲。</w:t>
            </w:r>
          </w:p>
        </w:tc>
        <w:tc>
          <w:tcPr>
            <w:tcW w:w="2214"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认真落实“第一议题”制度、深入开展党的创新理论宣讲。</w:t>
            </w:r>
          </w:p>
        </w:tc>
        <w:tc>
          <w:tcPr>
            <w:tcW w:w="1733" w:type="pct"/>
            <w:gridSpan w:val="5"/>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2、认真履行“一岗双责”，切实抓好分管领域的意识形态工作。</w:t>
            </w:r>
          </w:p>
        </w:tc>
        <w:tc>
          <w:tcPr>
            <w:tcW w:w="2214"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认真履行“一岗双责”，切实抓好分管领域的意识形态工作。</w:t>
            </w:r>
          </w:p>
        </w:tc>
        <w:tc>
          <w:tcPr>
            <w:tcW w:w="1733" w:type="pct"/>
            <w:gridSpan w:val="5"/>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3、《舆情月报》、《一周舆情分析研判报告》、《每日舆情快报》、舆情办结。</w:t>
            </w:r>
          </w:p>
        </w:tc>
        <w:tc>
          <w:tcPr>
            <w:tcW w:w="2214"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完成《舆情月报》、《一周舆情分析研判报告》、《每日舆情快报》、舆情办结。</w:t>
            </w:r>
          </w:p>
        </w:tc>
        <w:tc>
          <w:tcPr>
            <w:tcW w:w="1733" w:type="pct"/>
            <w:gridSpan w:val="5"/>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4、国家级媒体刊播、主流媒体发稿</w:t>
            </w:r>
          </w:p>
        </w:tc>
        <w:tc>
          <w:tcPr>
            <w:tcW w:w="2214"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国家级媒体刊播、主流媒体发稿</w:t>
            </w:r>
          </w:p>
        </w:tc>
        <w:tc>
          <w:tcPr>
            <w:tcW w:w="1733" w:type="pct"/>
            <w:gridSpan w:val="5"/>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5、建成新时代文明实践所及站点。</w:t>
            </w:r>
          </w:p>
        </w:tc>
        <w:tc>
          <w:tcPr>
            <w:tcW w:w="2214"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建成新时代文明实践所及站点。</w:t>
            </w:r>
          </w:p>
        </w:tc>
        <w:tc>
          <w:tcPr>
            <w:tcW w:w="1733" w:type="pct"/>
            <w:gridSpan w:val="5"/>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000" w:type="pct"/>
            <w:gridSpan w:val="9"/>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000" w:type="pct"/>
            <w:gridSpan w:val="9"/>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一级指标</w:t>
            </w:r>
          </w:p>
        </w:tc>
        <w:tc>
          <w:tcPr>
            <w:tcW w:w="55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二级指标</w:t>
            </w:r>
          </w:p>
        </w:tc>
        <w:tc>
          <w:tcPr>
            <w:tcW w:w="11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三级指标</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年度指标值</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实际完成值</w:t>
            </w: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分值</w:t>
            </w: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得分</w:t>
            </w: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偏差度</w:t>
            </w: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投入管理指标</w:t>
            </w:r>
          </w:p>
        </w:tc>
        <w:tc>
          <w:tcPr>
            <w:tcW w:w="550"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工作目标管理</w:t>
            </w:r>
          </w:p>
        </w:tc>
        <w:tc>
          <w:tcPr>
            <w:tcW w:w="11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年度履职目标相关性</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相关</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0"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1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工作任务科学性</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科学</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0"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1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绩效指标合理性</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合理</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0"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预算和财务管理</w:t>
            </w:r>
          </w:p>
        </w:tc>
        <w:tc>
          <w:tcPr>
            <w:tcW w:w="11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预算编制完整性</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完整</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0"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1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专项资金细化率</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≥90%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0"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1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预算调整率</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≤20%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0"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1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结转结余率</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≤20%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0"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1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“三公经费”控制率</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≤30%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0"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1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政府采购执行率</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≥80%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0"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1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决算真实性</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真实</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0"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1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资金使用合规性</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合规</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0"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1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管理制度健全性</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健全</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0"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1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预决算信息公开性</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公开</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0"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1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资产管理规范性</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规范</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0"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绩效管理</w:t>
            </w:r>
          </w:p>
        </w:tc>
        <w:tc>
          <w:tcPr>
            <w:tcW w:w="11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绩效监控完成率</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0"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1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绩效目标编制完成率</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0"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1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绩效自评完成率</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0"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1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部门绩效评价完成率</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0"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1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评价结果应用率</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产出指标</w:t>
            </w:r>
          </w:p>
        </w:tc>
        <w:tc>
          <w:tcPr>
            <w:tcW w:w="550"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重点工作任务完成</w:t>
            </w:r>
          </w:p>
        </w:tc>
        <w:tc>
          <w:tcPr>
            <w:tcW w:w="11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5、建成新时代文明实践所及站点。</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0"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1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 4、国家级媒体刊播、主流媒体发稿</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0"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1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 1、认真落实“第一议题”制度、深入开展党的创新理论宣讲。</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0"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1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 2、认真履行“一岗双责”，切实抓好分管领域的意识形态工作。</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0"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1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 3、《舆情月报》、《一周舆情分析研判报告》、《每日舆情快报》、舆情办结。</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0"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履职目标实现</w:t>
            </w:r>
          </w:p>
        </w:tc>
        <w:tc>
          <w:tcPr>
            <w:tcW w:w="11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目标5：建好用好新时代文明实践中心（所、站）。</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0"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1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 目标1：认真落实“第一议题”制度、深入开展党的创新理论宣讲。</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0"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1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 目标2：扛牢压实责任、完善工作格局。</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0"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1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 目标3：加强内宣管理，汇聚砥砺奋进内生动力。</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0"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11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 目标4：加大外宣力度，树立郸城良好对外形象。</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效益指标</w:t>
            </w:r>
          </w:p>
        </w:tc>
        <w:tc>
          <w:tcPr>
            <w:tcW w:w="55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履职效益</w:t>
            </w:r>
          </w:p>
        </w:tc>
        <w:tc>
          <w:tcPr>
            <w:tcW w:w="11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 提高我县正面宣传知名度</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提高</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1052" w:type="pct"/>
            <w:vMerge w:val="continue"/>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55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满意度</w:t>
            </w:r>
          </w:p>
        </w:tc>
        <w:tc>
          <w:tcPr>
            <w:tcW w:w="112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 xml:space="preserve"> 社会公众满意度</w:t>
            </w:r>
          </w:p>
        </w:tc>
        <w:tc>
          <w:tcPr>
            <w:tcW w:w="53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≥85%</w:t>
            </w:r>
          </w:p>
        </w:tc>
        <w:tc>
          <w:tcPr>
            <w:tcW w:w="35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5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1" w:hRule="atLeast"/>
          <w:jc w:val="center"/>
        </w:trPr>
        <w:tc>
          <w:tcPr>
            <w:tcW w:w="3266" w:type="pct"/>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总分</w:t>
            </w:r>
          </w:p>
        </w:tc>
        <w:tc>
          <w:tcPr>
            <w:tcW w:w="605"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val="0"/>
              <w:jc w:val="center"/>
              <w:textAlignment w:val="center"/>
              <w:rPr>
                <w:rFonts w:hint="eastAsia" w:ascii="宋体" w:hAnsi="宋体" w:eastAsia="宋体" w:cs="宋体"/>
                <w:i w:val="0"/>
                <w:iCs w:val="0"/>
                <w:color w:val="000000"/>
                <w:sz w:val="14"/>
                <w:szCs w:val="14"/>
                <w:u w:val="none"/>
              </w:rPr>
            </w:pPr>
            <w:r>
              <w:rPr>
                <w:rFonts w:hint="eastAsia" w:ascii="宋体" w:hAnsi="宋体" w:eastAsia="宋体" w:cs="宋体"/>
                <w:i w:val="0"/>
                <w:iCs w:val="0"/>
                <w:color w:val="000000"/>
                <w:kern w:val="0"/>
                <w:sz w:val="14"/>
                <w:szCs w:val="14"/>
                <w:u w:val="none"/>
                <w:lang w:val="en-US" w:eastAsia="zh-CN" w:bidi="ar"/>
              </w:rPr>
              <w:t>100</w:t>
            </w:r>
          </w:p>
        </w:tc>
        <w:tc>
          <w:tcPr>
            <w:tcW w:w="2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37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c>
          <w:tcPr>
            <w:tcW w:w="46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adjustRightInd/>
              <w:snapToGrid w:val="0"/>
              <w:jc w:val="center"/>
              <w:rPr>
                <w:rFonts w:hint="eastAsia" w:ascii="宋体" w:hAnsi="宋体" w:eastAsia="宋体" w:cs="宋体"/>
                <w:i w:val="0"/>
                <w:iCs w:val="0"/>
                <w:color w:val="000000"/>
                <w:sz w:val="14"/>
                <w:szCs w:val="14"/>
                <w:u w:val="none"/>
              </w:rPr>
            </w:pPr>
          </w:p>
        </w:tc>
      </w:tr>
    </w:tbl>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90" w:lineRule="exact"/>
        <w:ind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_GB2312" w:hAnsi="Times New Roman" w:eastAsia="仿宋_GB2312" w:cs="Times New Roman"/>
          <w:sz w:val="32"/>
          <w:szCs w:val="32"/>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仿宋" w:hAnsi="仿宋" w:eastAsia="仿宋" w:cs="仿宋"/>
          <w:kern w:val="2"/>
          <w:sz w:val="32"/>
          <w:szCs w:val="32"/>
          <w:lang w:val="en-US" w:eastAsia="zh-CN"/>
        </w:rPr>
        <w:t>财政部门未选取我部门2024年度预算项目开展财政重点评价。</w:t>
      </w:r>
    </w:p>
    <w:p>
      <w:pPr>
        <w:keepNext w:val="0"/>
        <w:keepLines w:val="0"/>
        <w:pageBreakBefore w:val="0"/>
        <w:kinsoku/>
        <w:wordWrap/>
        <w:overflowPunct/>
        <w:topLinePunct w:val="0"/>
        <w:autoSpaceDE/>
        <w:autoSpaceDN/>
        <w:bidi w:val="0"/>
        <w:adjustRightInd/>
        <w:jc w:val="center"/>
        <w:outlineLvl w:val="0"/>
        <w:rPr>
          <w:rFonts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p>
      <w:pPr>
        <w:keepNext w:val="0"/>
        <w:keepLines w:val="0"/>
        <w:pageBreakBefore w:val="0"/>
        <w:kinsoku/>
        <w:wordWrap/>
        <w:overflowPunct/>
        <w:topLinePunct w:val="0"/>
        <w:autoSpaceDE/>
        <w:autoSpaceDN/>
        <w:bidi w:val="0"/>
        <w:adjustRightInd/>
        <w:jc w:val="center"/>
        <w:outlineLvl w:val="0"/>
        <w:rPr>
          <w:rFonts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ascii="黑体" w:hAnsi="黑体" w:eastAsia="黑体" w:cs="黑体"/>
          <w:sz w:val="48"/>
          <w:szCs w:val="48"/>
          <w:lang w:val="en-US" w:eastAsia="zh-CN"/>
        </w:rPr>
      </w:pP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default"/>
    <w:sig w:usb0="000000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黑体">
    <w:altName w:val="方正黑体_GBK"/>
    <w:panose1 w:val="02010609060101010101"/>
    <w:charset w:val="00"/>
    <w:family w:val="auto"/>
    <w:pitch w:val="default"/>
    <w:sig w:usb0="800002BF" w:usb1="38CF7CFA"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auto"/>
    <w:pitch w:val="default"/>
    <w:sig w:usb0="800002BF" w:usb1="38CF7CFA" w:usb2="00000016" w:usb3="00000000" w:csb0="00040001" w:csb1="00000000"/>
  </w:font>
  <w:font w:name="Courier New">
    <w:altName w:val="DejaVu Sans"/>
    <w:panose1 w:val="02070309020205020404"/>
    <w:charset w:val="00"/>
    <w:family w:val="modern"/>
    <w:pitch w:val="default"/>
    <w:sig w:usb0="E0002EFF" w:usb1="C0007843" w:usb2="00000009" w:usb3="00000000" w:csb0="400001FF" w:csb1="FFFF0000"/>
  </w:font>
  <w:font w:name="华文中宋">
    <w:altName w:val="汉仪中宋简"/>
    <w:panose1 w:val="02010600040101010101"/>
    <w:charset w:val="00"/>
    <w:family w:val="auto"/>
    <w:pitch w:val="default"/>
    <w:sig w:usb0="00000287" w:usb1="080F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00"/>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0"/>
  <w:displayVerticalDrawingGridEvery w:val="2"/>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5C6D2C"/>
    <w:rsid w:val="11DC7C13"/>
    <w:rsid w:val="3FDD625F"/>
    <w:rsid w:val="5AE57D66"/>
    <w:rsid w:val="DF3D4C6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unhideWhenUsed/>
    <w:qFormat/>
    <w:uiPriority w:val="99"/>
    <w:tblPr>
      <w:tblStyle w:val="2"/>
      <w:tblCellMar>
        <w:top w:w="0" w:type="dxa"/>
        <w:left w:w="108" w:type="dxa"/>
        <w:bottom w:w="0" w:type="dxa"/>
        <w:right w:w="108" w:type="dxa"/>
      </w:tblCellMar>
    </w:tblPr>
  </w:style>
  <w:style w:type="table" w:styleId="3">
    <w:name w:val="Table Grid"/>
    <w:basedOn w:val="2"/>
    <w:uiPriority w:val="0"/>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5">
    <w:name w:val="Hyperlink"/>
    <w:unhideWhenUsed/>
    <w:uiPriority w:val="99"/>
    <w:rPr>
      <w:color w:val="0000FF"/>
      <w:u w:val="single"/>
    </w:rPr>
  </w:style>
  <w:style w:type="table" w:customStyle="1" w:styleId="6">
    <w:name w:val="普通表格1"/>
    <w:unhideWhenUsed/>
    <w:qFormat/>
    <w:uiPriority w:val="99"/>
    <w:tblPr>
      <w:tblStyle w:val="2"/>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000000"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font01"/>
    <w:uiPriority w:val="0"/>
    <w:rPr>
      <w:rFonts w:hint="eastAsia" w:ascii="宋体" w:hAnsi="宋体" w:eastAsia="宋体" w:cs="宋体"/>
      <w:color w:val="000000"/>
      <w:sz w:val="22"/>
      <w:szCs w:val="22"/>
      <w:u w:val="none"/>
    </w:rPr>
  </w:style>
  <w:style w:type="character" w:customStyle="1" w:styleId="17">
    <w:name w:val="font21"/>
    <w:uiPriority w:val="0"/>
    <w:rPr>
      <w:rFonts w:hint="eastAsia" w:ascii="宋体" w:hAnsi="宋体" w:eastAsia="宋体" w:cs="宋体"/>
      <w:color w:val="000000"/>
      <w:sz w:val="22"/>
      <w:szCs w:val="22"/>
      <w:u w:val="none"/>
    </w:rPr>
  </w:style>
  <w:style w:type="character" w:customStyle="1" w:styleId="18">
    <w:name w:val="font51"/>
    <w:uiPriority w:val="0"/>
    <w:rPr>
      <w:rFonts w:hint="eastAsia" w:ascii="宋体" w:hAnsi="宋体" w:eastAsia="宋体" w:cs="宋体"/>
      <w:color w:val="000000"/>
      <w:sz w:val="24"/>
      <w:szCs w:val="24"/>
      <w:u w:val="none"/>
    </w:rPr>
  </w:style>
  <w:style w:type="character" w:customStyle="1" w:styleId="19">
    <w:name w:val="font11"/>
    <w:uiPriority w:val="0"/>
    <w:rPr>
      <w:rFonts w:hint="eastAsia" w:ascii="宋体" w:hAnsi="宋体" w:eastAsia="宋体" w:cs="宋体"/>
      <w:color w:val="000000"/>
      <w:sz w:val="20"/>
      <w:szCs w:val="20"/>
      <w:u w:val="none"/>
    </w:rPr>
  </w:style>
  <w:style w:type="character" w:customStyle="1" w:styleId="20">
    <w:name w:val="font41"/>
    <w:uiPriority w:val="0"/>
    <w:rPr>
      <w:rFonts w:hint="eastAsia" w:ascii="宋体" w:hAnsi="宋体" w:eastAsia="宋体" w:cs="宋体"/>
      <w:color w:val="000000"/>
      <w:sz w:val="24"/>
      <w:szCs w:val="24"/>
      <w:u w:val="none"/>
    </w:rPr>
  </w:style>
  <w:style w:type="character" w:customStyle="1" w:styleId="21">
    <w:name w:val="font31"/>
    <w:basedOn w:val="4"/>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31</Pages>
  <Words>5436</Words>
  <Characters>8054</Characters>
  <Lines>1</Lines>
  <Paragraphs>1</Paragraphs>
  <TotalTime>13</TotalTime>
  <ScaleCrop>false</ScaleCrop>
  <LinksUpToDate>false</LinksUpToDate>
  <CharactersWithSpaces>8681</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2025-12-05T18:58:06Z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eyJoZGlkIjoiMTQ0N2JlOTEyZWIyZTRmOTVkZTQ2YzY0MmY0YmMxYTAiLCJ1c2VySWQiOiIzMzczNzcwOTYifQ==</vt:lpwstr>
  </property>
  <property fmtid="{D5CDD505-2E9C-101B-9397-08002B2CF9AE}" pid="4" name="ICV">
    <vt:lpwstr>6C835080575E57C8BEBA32693BFB58BD</vt:lpwstr>
  </property>
</Properties>
</file>