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郸城县文学艺术界联合会部门决算</w:t>
      </w:r>
    </w:p>
    <w:p>
      <w:pPr>
        <w:keepNext w:val="0"/>
        <w:keepLines w:val="0"/>
        <w:pageBreakBefore w:val="0"/>
        <w:kinsoku/>
        <w:wordWrap/>
        <w:overflowPunct/>
        <w:topLinePunct w:val="0"/>
        <w:autoSpaceDE/>
        <w:autoSpaceDN/>
        <w:bidi w:val="0"/>
        <w:adjustRightInd/>
        <w:jc w:val="center"/>
        <w:rPr>
          <w:rFonts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overflowPunct/>
        <w:topLinePunct w:val="0"/>
        <w:autoSpaceDE/>
        <w:autoSpaceDN/>
        <w:bidi w:val="0"/>
        <w:adjustRightInd/>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overflowPunct/>
        <w:topLinePunct w:val="0"/>
        <w:autoSpaceDE/>
        <w:autoSpaceDN/>
        <w:bidi w:val="0"/>
        <w:adjustRightInd/>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overflowPunct/>
        <w:topLinePunct w:val="0"/>
        <w:autoSpaceDE/>
        <w:autoSpaceDN/>
        <w:bidi w:val="0"/>
        <w:adjustRightInd/>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郸城县文学艺术界联合会概况</w:t>
      </w:r>
    </w:p>
    <w:p>
      <w:pPr>
        <w:keepNext w:val="0"/>
        <w:keepLines w:val="0"/>
        <w:pageBreakBefore w:val="0"/>
        <w:numPr>
          <w:ilvl w:val="0"/>
          <w:numId w:val="1"/>
        </w:numPr>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overflowPunct/>
        <w:topLinePunct w:val="0"/>
        <w:autoSpaceDE/>
        <w:autoSpaceDN/>
        <w:bidi w:val="0"/>
        <w:adjustRightInd/>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widowControl/>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第一部分郸城县文学艺术界联合会概况</w:t>
      </w:r>
    </w:p>
    <w:p>
      <w:pPr>
        <w:keepNext w:val="0"/>
        <w:keepLines w:val="0"/>
        <w:pageBreakBefore w:val="0"/>
        <w:widowControl/>
        <w:kinsoku/>
        <w:wordWrap/>
        <w:overflowPunct/>
        <w:topLinePunct w:val="0"/>
        <w:autoSpaceDE/>
        <w:autoSpaceDN/>
        <w:bidi w:val="0"/>
        <w:adjustRightInd/>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（一）贯彻落实党的文艺方针，开展对县级文学艺术家协会的联络、协调、指导、服务工作，听取和反映文艺界的情况和意见。</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（二）组织召开全县文学艺术界代表大会，组织和管理全县文学艺术界联合会系统的各文艺家协会，推动文艺的繁荣。</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（三）组织团体会员开展文艺创作、文艺评论、学术交流、人才培训和调研工作；主办和协同有关部门组织文艺活动和文艺评奖。</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（四）主办文艺期刊。</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（五）协同有关部门联系、组织文艺界的文化交流活动，开展文艺界的联系和交流，宣传文明郸城，推出有地域特色的文艺精品。</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（六）为文艺界和广大文艺工作者服务，维护文艺社团和文艺家知识产权等合法权益。</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（七）做好为团体会员服务的工作，帮助各团体会员改善文艺家的工作条件。</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（八）根据《社团管理登记条例》之规定，负责对文艺界社团进行业务指导，并接受委托对全县文艺社团进行资格审查和管理。</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（九）完成上级交办的其他任务。</w:t>
      </w:r>
    </w:p>
    <w:p>
      <w:pPr>
        <w:keepNext w:val="0"/>
        <w:keepLines w:val="0"/>
        <w:pageBreakBefore w:val="0"/>
        <w:widowControl/>
        <w:kinsoku/>
        <w:wordWrap/>
        <w:overflowPunct/>
        <w:topLinePunct w:val="0"/>
        <w:autoSpaceDE/>
        <w:autoSpaceDN/>
        <w:bidi w:val="0"/>
        <w:adjustRightInd/>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郸城县文学艺术界联合会内设机构</w:t>
      </w:r>
      <w:r>
        <w:rPr>
          <w:rFonts w:hint="eastAsia" w:ascii="仿宋_GB2312" w:hAnsi="宋体" w:eastAsia="仿宋_GB2312" w:cs="Courier New"/>
          <w:kern w:val="0"/>
          <w:sz w:val="32"/>
          <w:szCs w:val="32"/>
          <w:lang w:val="en-US" w:eastAsia="zh-CN"/>
        </w:rPr>
        <w:t>2</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综合办公室、组织联络股。</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从决算单位构成看，郸城县文学艺术界联合会部门决算为本级决算。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郸城县文学艺术界联合会本级，无二级决算单位。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部门：郸城县文学艺术界联合会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206.46</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195.77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206.46</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206.46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206.46</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206.46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部门：郸城县文学艺术界联合会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206.46</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206.46</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一般公共服务支出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195.77</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195.77</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20129</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群众团体事务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195.77</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195.77</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2012901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行政运行</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35.27</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35.27</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2012902</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160.50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160.50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社会保障和就业支出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5.23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5.23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行政事业单位养老支出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4.45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4.45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2080505</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机关事业单位基本养老保险缴费支出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4.45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4.45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0.78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0.78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2089999</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0.78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0.78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卫生健康支出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3.25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3.25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行政事业单位医疗</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3.25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3.25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行政单位医疗</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1.59</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1.59</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2101199</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其他行政事业单位医疗支出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1.66</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1.66</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住房保障支出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住房改革支出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2210201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住房公积金</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部门：郸城县文学艺术界联合会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206.46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45.96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160.50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一般公共服务支出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195.77</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35.27</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160.50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20129</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群众团体事务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195.77</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35.27</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160.50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2012901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35.27</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35.27</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2012902</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160.50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160.50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4.45</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4.45</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4.45</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4.45</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3.25</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3.25</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3.25</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3.25</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1.59</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1.59</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部门：郸城县文学艺术界联合会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206.46</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195.77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195.77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206.46</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206.46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206.46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4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4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4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206.46</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206.46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206.46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部门：郸城县文学艺术界联合会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206.46</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45.96</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160.50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一般公共服务支出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195.77</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35.27</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160.50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20129</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群众团体事务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195.77</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35.27</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160.50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2012901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35.27</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35.27</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2012902</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160.50</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160.50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5.23</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5.23</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4.45</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4.45</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4.45</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4.45</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0.78</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0.78</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0.78</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0.78</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3.25</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3.25</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3.25</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3.25</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1.59</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1.59</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2101199</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其他行政事业单位医疗支出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1.66</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1.66</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部门：郸城县文学艺术界联合会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36.09</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9.12</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17.26</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4.69</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4.19</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4.45</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1.59</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0.75</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0.75</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3.12</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7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6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6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7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6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36.84</w:t>
            </w:r>
          </w:p>
        </w:tc>
        <w:tc>
          <w:tcPr>
            <w:tcW w:w="7720" w:type="dxa"/>
            <w:gridSpan w:val="5"/>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overflowPunct/>
        <w:topLinePunct w:val="0"/>
        <w:autoSpaceDE/>
        <w:autoSpaceDN/>
        <w:bidi w:val="0"/>
        <w:adjustRightInd/>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部门：郸城县文学艺术界联合会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58"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58"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说明：我部门没有政府性基金收入，也没有使用政府性基金安排的支出，故本表无数据。</w:t>
      </w: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部门：郸城县文学艺术界联合会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5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58"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部门：郸城县文学艺术界联合会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overflowPunct/>
        <w:topLinePunct w:val="0"/>
        <w:autoSpaceDE/>
        <w:autoSpaceDN/>
        <w:bidi w:val="0"/>
        <w:adjustRightInd/>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overflowPunct/>
        <w:topLinePunct w:val="0"/>
        <w:autoSpaceDE/>
        <w:autoSpaceDN/>
        <w:bidi w:val="0"/>
        <w:adjustRightInd/>
        <w:jc w:val="both"/>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206.46</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与上年度相比，收、支总计各增加36.47万元，增长21.45%，主要原因是年度</w:t>
      </w:r>
      <w:r>
        <w:rPr>
          <w:rFonts w:hint="eastAsia" w:ascii="仿宋" w:hAnsi="仿宋" w:eastAsia="仿宋" w:cs="仿宋_GB2312"/>
          <w:sz w:val="32"/>
          <w:szCs w:val="32"/>
          <w:lang w:val="en-US" w:eastAsia="zh-CN"/>
        </w:rPr>
        <w:t>举办文艺文化，书法作品展等活动，支出增加</w:t>
      </w:r>
      <w:r>
        <w:rPr>
          <w:rFonts w:hint="eastAsia" w:ascii="仿宋" w:hAnsi="仿宋" w:eastAsia="仿宋" w:cs="仿宋"/>
          <w:snapToGrid/>
          <w:color w:val="auto"/>
          <w:kern w:val="2"/>
          <w:sz w:val="32"/>
          <w:szCs w:val="32"/>
          <w:highlight w:val="none"/>
          <w:lang w:val="en-US" w:eastAsia="zh-CN" w:bidi="ar-SA"/>
        </w:rPr>
        <w:t>。</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206.46</w:t>
      </w:r>
      <w:r>
        <w:rPr>
          <w:rFonts w:hint="eastAsia" w:ascii="仿宋_GB2312" w:hAnsi="仿宋_GB2312" w:eastAsia="仿宋_GB2312" w:cs="仿宋_GB2312"/>
          <w:sz w:val="32"/>
          <w:szCs w:val="32"/>
          <w:lang w:val="en-US" w:eastAsia="zh-CN"/>
        </w:rPr>
        <w:t>万元，其中：财政拨款收入206.46万元，占100.00%。</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206.46</w:t>
      </w:r>
      <w:r>
        <w:rPr>
          <w:rFonts w:hint="eastAsia" w:ascii="仿宋_GB2312" w:hAnsi="仿宋_GB2312" w:eastAsia="仿宋_GB2312" w:cs="仿宋_GB2312"/>
          <w:sz w:val="32"/>
          <w:szCs w:val="32"/>
          <w:lang w:val="en-US" w:eastAsia="zh-CN"/>
        </w:rPr>
        <w:t>万元，其中：基本支出45.96万元，占22.26%;项目支出160.50万元，占77.74%。</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206.46</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与上年度相比，财政拨款收、支总计各增加36.47万元，增长21.45%，主要原因是年度</w:t>
      </w:r>
      <w:r>
        <w:rPr>
          <w:rFonts w:hint="eastAsia" w:ascii="仿宋" w:hAnsi="仿宋" w:eastAsia="仿宋" w:cs="仿宋_GB2312"/>
          <w:sz w:val="32"/>
          <w:szCs w:val="32"/>
          <w:lang w:val="en-US" w:eastAsia="zh-CN"/>
        </w:rPr>
        <w:t>举办文艺文化，书法作品展等活动，支出增加</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2024年度一般公共预算财政拨款支出206.46万元，占支出合计的100.00%。与上年度相比，一般公共预算财政拨款支出增加36.47万元，增长21.45%，主要原因是年度</w:t>
      </w:r>
      <w:r>
        <w:rPr>
          <w:rFonts w:hint="eastAsia" w:ascii="仿宋" w:hAnsi="仿宋" w:eastAsia="仿宋" w:cs="仿宋_GB2312"/>
          <w:sz w:val="32"/>
          <w:szCs w:val="32"/>
          <w:lang w:val="en-US" w:eastAsia="zh-CN"/>
        </w:rPr>
        <w:t>举办文艺文化，书法作品展等活动，支出增加</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206.46万元，主要用于以下方面：一般公共服务（类）支出195.77万元，占94.82%;社会保障和就业（类）支出5.23万元，占2.53%;卫生健康（类）支出3.25万元，占1.57%;住房保障（类）支出2.21万元，占1.07%。</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78.91</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206.46</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261.64</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37.31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35.27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，完成年初预算的94.54%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节约开支，经费压减。</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31.50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160.50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，完成年初预算的509.52%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举办文艺文化，书法作品展等活动。</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一般公共服务支出（类）群众团体事务（款）工会事务（项）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0.50</w:t>
      </w:r>
      <w:r>
        <w:rPr>
          <w:rFonts w:hint="eastAsia" w:ascii="仿宋" w:hAnsi="仿宋" w:eastAsia="仿宋" w:cs="仿宋_GB2312"/>
          <w:sz w:val="32"/>
          <w:szCs w:val="32"/>
          <w:lang w:val="en-US" w:eastAsia="zh-CN"/>
        </w:rPr>
        <w:t>万元，支出决算为0万元。决算数与年初预算数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本年度未开展工会支出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3.96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4.45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，完成年初预算的112.25%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人员增加，养老保险支出增加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0.77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0.78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，完成年初预算的101.60%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人员增加，保险支出增加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100</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持平</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，完成年初预算的127.97%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人员增加，保险支出增加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，完成年初预算的111.80%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人员增加，保险支出增加</w:t>
      </w:r>
      <w:r>
        <w:rPr>
          <w:rFonts w:hint="eastAsia" w:ascii="仿宋" w:hAnsi="仿宋" w:eastAsia="仿宋" w:cs="仿宋_GB2312"/>
          <w:sz w:val="32"/>
          <w:szCs w:val="32"/>
          <w:lang w:val="en-US" w:eastAsia="zh-CN"/>
        </w:rPr>
        <w:t>。</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45.96</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36.84</w:t>
      </w:r>
      <w:r>
        <w:rPr>
          <w:rFonts w:hint="eastAsia" w:ascii="仿宋_GB2312" w:hAnsi="仿宋_GB2312" w:eastAsia="仿宋_GB2312" w:cs="仿宋_GB2312"/>
          <w:sz w:val="32"/>
          <w:szCs w:val="32"/>
          <w:lang w:val="en-US" w:eastAsia="zh-CN"/>
        </w:rPr>
        <w:t>万元，主要包括：基本工资、津贴补贴、奖金、机关事业单位基本养老保险缴费、职工基本医疗保险缴费、其他社会保障缴费、住房公积金、生活补助；公用经费</w:t>
      </w:r>
      <w:r>
        <w:rPr>
          <w:rFonts w:hint="eastAsia" w:ascii="仿宋_GB2312" w:hAnsi="Times New Roman" w:eastAsia="仿宋_GB2312"/>
          <w:sz w:val="32"/>
          <w:szCs w:val="32"/>
          <w:lang w:val="en-US" w:eastAsia="zh-CN"/>
        </w:rPr>
        <w:t>9.12</w:t>
      </w:r>
      <w:r>
        <w:rPr>
          <w:rFonts w:hint="eastAsia" w:ascii="仿宋_GB2312" w:hAnsi="仿宋_GB2312" w:eastAsia="仿宋_GB2312" w:cs="仿宋_GB2312"/>
          <w:sz w:val="32"/>
          <w:szCs w:val="32"/>
          <w:lang w:val="en-US" w:eastAsia="zh-CN"/>
        </w:rPr>
        <w:t>万元，主要包括：办公费、其他交通费用。</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我部门2024年没有使用政府性基金预算财政拨款安排的支出。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 人次（不包括陪同人员）。</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2024年度机关运行经费支出9.12万元，比2023年增加0.78万元，增长9.35%。主要原因是年度各项工作有所增加，导致支出增加。</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9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9个项目开展了绩效自评，涉及项目资金97.5万元，逐步提高绩效自评质量。注重结果应用，将评价结果作为改进预算管理、资金分配和预算安排的重要依据。</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9个项目支出进行了绩效自评，绩效自评平均得分100分。其中：自评结果个为9优，0个为良，0个为中，0个为差。从自评情况看，项目支出绩效管理的重视程度进一步提升，项目总体执行和完成情况较好，资金使用比较规范。</w:t>
      </w:r>
    </w:p>
    <w:tbl>
      <w:tblPr>
        <w:tblStyle w:val="2"/>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58"/>
        <w:gridCol w:w="797"/>
        <w:gridCol w:w="515"/>
        <w:gridCol w:w="848"/>
        <w:gridCol w:w="1556"/>
        <w:gridCol w:w="1380"/>
        <w:gridCol w:w="600"/>
        <w:gridCol w:w="746"/>
        <w:gridCol w:w="600"/>
        <w:gridCol w:w="8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5000" w:type="pct"/>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5000" w:type="pct"/>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2025年1</w:t>
            </w:r>
            <w:r>
              <w:rPr>
                <w:rFonts w:hint="eastAsia" w:ascii="宋体" w:hAnsi="宋体" w:cs="宋体"/>
                <w:i w:val="0"/>
                <w:iCs w:val="0"/>
                <w:color w:val="000000"/>
                <w:kern w:val="0"/>
                <w:sz w:val="14"/>
                <w:szCs w:val="14"/>
                <w:u w:val="none"/>
                <w:lang w:val="en-US" w:eastAsia="zh-CN" w:bidi="ar"/>
              </w:rPr>
              <w:t>0</w:t>
            </w:r>
            <w:r>
              <w:rPr>
                <w:rFonts w:hint="eastAsia" w:ascii="宋体" w:hAnsi="宋体" w:eastAsia="宋体" w:cs="宋体"/>
                <w:i w:val="0"/>
                <w:iCs w:val="0"/>
                <w:color w:val="000000"/>
                <w:kern w:val="0"/>
                <w:sz w:val="14"/>
                <w:szCs w:val="14"/>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85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项目名称</w:t>
            </w:r>
          </w:p>
        </w:tc>
        <w:tc>
          <w:tcPr>
            <w:tcW w:w="4145"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2024年文艺文化综合经费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85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主管部门</w:t>
            </w:r>
          </w:p>
        </w:tc>
        <w:tc>
          <w:tcPr>
            <w:tcW w:w="80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郸城县文学艺术界联合会</w:t>
            </w:r>
          </w:p>
        </w:tc>
        <w:tc>
          <w:tcPr>
            <w:tcW w:w="172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实施单位</w:t>
            </w:r>
          </w:p>
        </w:tc>
        <w:tc>
          <w:tcPr>
            <w:tcW w:w="1621"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郸城县文学艺术界联合会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854"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项目资金                (万元)</w:t>
            </w:r>
          </w:p>
        </w:tc>
        <w:tc>
          <w:tcPr>
            <w:tcW w:w="302" w:type="pct"/>
            <w:tcBorders>
              <w:top w:val="single" w:color="000000" w:sz="4" w:space="0"/>
              <w:left w:val="single" w:color="000000" w:sz="4" w:space="0"/>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4"/>
                <w:szCs w:val="14"/>
                <w:u w:val="none"/>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年初预算数</w:t>
            </w:r>
          </w:p>
        </w:tc>
        <w:tc>
          <w:tcPr>
            <w:tcW w:w="91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全年预算数</w:t>
            </w:r>
          </w:p>
        </w:tc>
        <w:tc>
          <w:tcPr>
            <w:tcW w:w="81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全年执行数</w:t>
            </w:r>
          </w:p>
        </w:tc>
        <w:tc>
          <w:tcPr>
            <w:tcW w:w="3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w:t>
            </w:r>
          </w:p>
        </w:tc>
        <w:tc>
          <w:tcPr>
            <w:tcW w:w="4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执行率</w:t>
            </w:r>
          </w:p>
        </w:tc>
        <w:tc>
          <w:tcPr>
            <w:tcW w:w="8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8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0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w:t>
            </w:r>
            <w:r>
              <w:rPr>
                <w:rStyle w:val="21"/>
                <w:sz w:val="14"/>
                <w:szCs w:val="14"/>
                <w:lang w:val="en-US" w:eastAsia="zh-CN" w:bidi="ar"/>
              </w:rPr>
              <w:t xml:space="preserve"> 年度资金总额：</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27</w:t>
            </w:r>
          </w:p>
        </w:tc>
        <w:tc>
          <w:tcPr>
            <w:tcW w:w="91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16</w:t>
            </w:r>
          </w:p>
        </w:tc>
        <w:tc>
          <w:tcPr>
            <w:tcW w:w="81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16</w:t>
            </w:r>
          </w:p>
        </w:tc>
        <w:tc>
          <w:tcPr>
            <w:tcW w:w="3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w:t>
            </w:r>
          </w:p>
        </w:tc>
        <w:tc>
          <w:tcPr>
            <w:tcW w:w="4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100.0 %</w:t>
            </w:r>
          </w:p>
        </w:tc>
        <w:tc>
          <w:tcPr>
            <w:tcW w:w="8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8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0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财政拨款</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27</w:t>
            </w:r>
          </w:p>
        </w:tc>
        <w:tc>
          <w:tcPr>
            <w:tcW w:w="91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16</w:t>
            </w:r>
          </w:p>
        </w:tc>
        <w:tc>
          <w:tcPr>
            <w:tcW w:w="81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16</w:t>
            </w:r>
          </w:p>
        </w:tc>
        <w:tc>
          <w:tcPr>
            <w:tcW w:w="3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4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100.0 %</w:t>
            </w:r>
          </w:p>
        </w:tc>
        <w:tc>
          <w:tcPr>
            <w:tcW w:w="8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8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0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财政专户管理资金</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1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81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3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4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8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8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0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单位资金</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1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81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3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4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83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854"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资金管理情况</w:t>
            </w:r>
          </w:p>
        </w:tc>
        <w:tc>
          <w:tcPr>
            <w:tcW w:w="800" w:type="pct"/>
            <w:gridSpan w:val="2"/>
            <w:tcBorders>
              <w:top w:val="single" w:color="000000" w:sz="4" w:space="0"/>
              <w:left w:val="nil"/>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4"/>
                <w:szCs w:val="14"/>
                <w:u w:val="none"/>
              </w:rPr>
            </w:pPr>
          </w:p>
        </w:tc>
        <w:tc>
          <w:tcPr>
            <w:tcW w:w="172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情况说明</w:t>
            </w:r>
          </w:p>
        </w:tc>
        <w:tc>
          <w:tcPr>
            <w:tcW w:w="3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分值（20）</w:t>
            </w:r>
          </w:p>
        </w:tc>
        <w:tc>
          <w:tcPr>
            <w:tcW w:w="4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c>
          <w:tcPr>
            <w:tcW w:w="831"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8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0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安排科学性</w:t>
            </w:r>
          </w:p>
        </w:tc>
        <w:tc>
          <w:tcPr>
            <w:tcW w:w="172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从完整性、规范性、合理性进行审核，严格绩效管理，提升资金安排科学性。</w:t>
            </w:r>
          </w:p>
        </w:tc>
        <w:tc>
          <w:tcPr>
            <w:tcW w:w="3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4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831" w:type="pct"/>
            <w:gridSpan w:val="2"/>
            <w:tcBorders>
              <w:top w:val="single" w:color="000000" w:sz="4" w:space="0"/>
              <w:left w:val="nil"/>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8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0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拨付合规性</w:t>
            </w:r>
          </w:p>
        </w:tc>
        <w:tc>
          <w:tcPr>
            <w:tcW w:w="172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严格按照财务管理制度的要求支出，资金的拨付有完整的审批程序和手续，符合项目预算批复或合同规定的用途。</w:t>
            </w:r>
          </w:p>
        </w:tc>
        <w:tc>
          <w:tcPr>
            <w:tcW w:w="3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4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831" w:type="pct"/>
            <w:gridSpan w:val="2"/>
            <w:tcBorders>
              <w:top w:val="single" w:color="000000" w:sz="4" w:space="0"/>
              <w:left w:val="nil"/>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8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0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使用规范性</w:t>
            </w:r>
          </w:p>
        </w:tc>
        <w:tc>
          <w:tcPr>
            <w:tcW w:w="172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无超标列支相关费用，专款专用，不存在截留、挤占、挪用、虚列支出等情况，票据合法合规，财务票无证资料较齐全并及时归档。</w:t>
            </w:r>
          </w:p>
        </w:tc>
        <w:tc>
          <w:tcPr>
            <w:tcW w:w="3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4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831" w:type="pct"/>
            <w:gridSpan w:val="2"/>
            <w:tcBorders>
              <w:top w:val="single" w:color="000000" w:sz="4" w:space="0"/>
              <w:left w:val="nil"/>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85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0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预算绩效管理情况</w:t>
            </w:r>
          </w:p>
        </w:tc>
        <w:tc>
          <w:tcPr>
            <w:tcW w:w="172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推动建立定期分析制度，强化绩效管理入脑入心，督促调整和完善改进，不断推进我院绩效管理工作全面落实，保障项目的高效开展。</w:t>
            </w:r>
          </w:p>
        </w:tc>
        <w:tc>
          <w:tcPr>
            <w:tcW w:w="3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4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831" w:type="pct"/>
            <w:gridSpan w:val="2"/>
            <w:tcBorders>
              <w:top w:val="single" w:color="000000" w:sz="4" w:space="0"/>
              <w:left w:val="nil"/>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38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年度总体目标</w:t>
            </w:r>
          </w:p>
        </w:tc>
        <w:tc>
          <w:tcPr>
            <w:tcW w:w="1268"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预期目标</w:t>
            </w:r>
          </w:p>
        </w:tc>
        <w:tc>
          <w:tcPr>
            <w:tcW w:w="3345"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38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1268" w:type="pct"/>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2024年文艺创作、文化交流及开展各类文化活动经费。</w:t>
            </w:r>
          </w:p>
        </w:tc>
        <w:tc>
          <w:tcPr>
            <w:tcW w:w="3345" w:type="pct"/>
            <w:gridSpan w:val="6"/>
            <w:tcBorders>
              <w:top w:val="single" w:color="000000" w:sz="4" w:space="0"/>
              <w:left w:val="single" w:color="000000" w:sz="4" w:space="0"/>
              <w:bottom w:val="single" w:color="000000" w:sz="4" w:space="0"/>
              <w:right w:val="single" w:color="000000" w:sz="4" w:space="0"/>
            </w:tcBorders>
            <w:noWrap/>
            <w:vAlign w:val="top"/>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12" w:hRule="atLeast"/>
          <w:jc w:val="center"/>
        </w:trPr>
        <w:tc>
          <w:tcPr>
            <w:tcW w:w="5000" w:type="pct"/>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12" w:hRule="atLeast"/>
          <w:jc w:val="center"/>
        </w:trPr>
        <w:tc>
          <w:tcPr>
            <w:tcW w:w="5000" w:type="pct"/>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38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一级指标</w:t>
            </w:r>
          </w:p>
        </w:tc>
        <w:tc>
          <w:tcPr>
            <w:tcW w:w="46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二级指标</w:t>
            </w:r>
          </w:p>
        </w:tc>
        <w:tc>
          <w:tcPr>
            <w:tcW w:w="800"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三级指标</w:t>
            </w:r>
          </w:p>
        </w:tc>
        <w:tc>
          <w:tcPr>
            <w:tcW w:w="91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年度指标值</w:t>
            </w:r>
          </w:p>
        </w:tc>
        <w:tc>
          <w:tcPr>
            <w:tcW w:w="81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实际值完成值</w:t>
            </w:r>
          </w:p>
        </w:tc>
        <w:tc>
          <w:tcPr>
            <w:tcW w:w="35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w:t>
            </w:r>
          </w:p>
        </w:tc>
        <w:tc>
          <w:tcPr>
            <w:tcW w:w="43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c>
          <w:tcPr>
            <w:tcW w:w="35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偏差度</w:t>
            </w:r>
          </w:p>
        </w:tc>
        <w:tc>
          <w:tcPr>
            <w:tcW w:w="47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38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4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0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1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0"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52"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43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52"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479"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8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成本指标</w:t>
            </w:r>
          </w:p>
        </w:tc>
        <w:tc>
          <w:tcPr>
            <w:tcW w:w="4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经济成本指标</w:t>
            </w:r>
          </w:p>
        </w:tc>
        <w:tc>
          <w:tcPr>
            <w:tcW w:w="80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文化活动成本</w:t>
            </w:r>
          </w:p>
        </w:tc>
        <w:tc>
          <w:tcPr>
            <w:tcW w:w="9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≤27万元</w:t>
            </w:r>
          </w:p>
        </w:tc>
        <w:tc>
          <w:tcPr>
            <w:tcW w:w="81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27万元</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479"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8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产出指标</w:t>
            </w:r>
          </w:p>
        </w:tc>
        <w:tc>
          <w:tcPr>
            <w:tcW w:w="4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数量指标</w:t>
            </w:r>
          </w:p>
        </w:tc>
        <w:tc>
          <w:tcPr>
            <w:tcW w:w="80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开展活动场次</w:t>
            </w:r>
          </w:p>
        </w:tc>
        <w:tc>
          <w:tcPr>
            <w:tcW w:w="9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≥23场次</w:t>
            </w:r>
          </w:p>
        </w:tc>
        <w:tc>
          <w:tcPr>
            <w:tcW w:w="81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23场次</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479"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8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4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质量指标</w:t>
            </w:r>
          </w:p>
        </w:tc>
        <w:tc>
          <w:tcPr>
            <w:tcW w:w="80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活动质量合格率</w:t>
            </w:r>
          </w:p>
        </w:tc>
        <w:tc>
          <w:tcPr>
            <w:tcW w:w="9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81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479"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8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4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时效指标</w:t>
            </w:r>
          </w:p>
        </w:tc>
        <w:tc>
          <w:tcPr>
            <w:tcW w:w="80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活动完成及时性</w:t>
            </w:r>
          </w:p>
        </w:tc>
        <w:tc>
          <w:tcPr>
            <w:tcW w:w="9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2024年12月30日之前</w:t>
            </w:r>
          </w:p>
        </w:tc>
        <w:tc>
          <w:tcPr>
            <w:tcW w:w="81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479"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8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效益指标</w:t>
            </w:r>
          </w:p>
        </w:tc>
        <w:tc>
          <w:tcPr>
            <w:tcW w:w="4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社会效益指标</w:t>
            </w:r>
          </w:p>
        </w:tc>
        <w:tc>
          <w:tcPr>
            <w:tcW w:w="80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丰富群众业余文化生活</w:t>
            </w:r>
          </w:p>
        </w:tc>
        <w:tc>
          <w:tcPr>
            <w:tcW w:w="9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丰富</w:t>
            </w:r>
          </w:p>
        </w:tc>
        <w:tc>
          <w:tcPr>
            <w:tcW w:w="81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25</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25</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479"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8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满意度指标</w:t>
            </w:r>
          </w:p>
        </w:tc>
        <w:tc>
          <w:tcPr>
            <w:tcW w:w="4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服务对象满意度指标</w:t>
            </w:r>
          </w:p>
        </w:tc>
        <w:tc>
          <w:tcPr>
            <w:tcW w:w="80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群众满意度</w:t>
            </w:r>
          </w:p>
        </w:tc>
        <w:tc>
          <w:tcPr>
            <w:tcW w:w="9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≥95%</w:t>
            </w:r>
          </w:p>
        </w:tc>
        <w:tc>
          <w:tcPr>
            <w:tcW w:w="81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95%</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479"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1" w:hRule="atLeast"/>
          <w:jc w:val="center"/>
        </w:trPr>
        <w:tc>
          <w:tcPr>
            <w:tcW w:w="3378"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总分</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479"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tbl>
      <w:tblPr>
        <w:tblStyle w:val="2"/>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42"/>
        <w:gridCol w:w="755"/>
        <w:gridCol w:w="1018"/>
        <w:gridCol w:w="1199"/>
        <w:gridCol w:w="980"/>
        <w:gridCol w:w="732"/>
        <w:gridCol w:w="966"/>
        <w:gridCol w:w="668"/>
        <w:gridCol w:w="680"/>
        <w:gridCol w:w="9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10"/>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10"/>
            <w:tcBorders>
              <w:top w:val="single" w:color="000000" w:sz="4" w:space="0"/>
              <w:left w:val="single" w:color="000000" w:sz="4" w:space="0"/>
              <w:bottom w:val="single" w:color="000000" w:sz="4" w:space="0"/>
              <w:right w:val="single" w:color="000000" w:sz="4" w:space="0"/>
            </w:tcBorders>
            <w:noWrap w:val="0"/>
            <w:vAlign w:val="top"/>
          </w:tcPr>
          <w:p>
            <w:pPr>
              <w:keepNext/>
              <w:keepLines w:val="0"/>
              <w:widowControl/>
              <w:suppressLineNumbers w:val="0"/>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2025年10月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61"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项目名称</w:t>
            </w:r>
          </w:p>
        </w:tc>
        <w:tc>
          <w:tcPr>
            <w:tcW w:w="4238" w:type="pct"/>
            <w:gridSpan w:val="8"/>
            <w:tcBorders>
              <w:top w:val="single" w:color="000000" w:sz="4" w:space="0"/>
              <w:left w:val="single" w:color="000000" w:sz="4" w:space="0"/>
              <w:bottom w:val="single" w:color="000000" w:sz="4" w:space="0"/>
              <w:right w:val="single" w:color="000000" w:sz="4" w:space="0"/>
            </w:tcBorders>
            <w:noWrap w:val="0"/>
            <w:vAlign w:val="top"/>
          </w:tcPr>
          <w:p>
            <w:pPr>
              <w:keepNext/>
              <w:keepLines w:val="0"/>
              <w:widowControl/>
              <w:suppressLineNumbers w:val="0"/>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全国著名书法家作品邀请展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61"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主管部门</w:t>
            </w:r>
          </w:p>
        </w:tc>
        <w:tc>
          <w:tcPr>
            <w:tcW w:w="1301"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郸城县文学艺术界联合会</w:t>
            </w:r>
          </w:p>
        </w:tc>
        <w:tc>
          <w:tcPr>
            <w:tcW w:w="1005"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实施单位</w:t>
            </w:r>
          </w:p>
        </w:tc>
        <w:tc>
          <w:tcPr>
            <w:tcW w:w="1931" w:type="pct"/>
            <w:gridSpan w:val="4"/>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郸城县文学艺术界联合会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6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项目资金                (万元)</w:t>
            </w:r>
          </w:p>
        </w:tc>
        <w:tc>
          <w:tcPr>
            <w:tcW w:w="597" w:type="pct"/>
            <w:tcBorders>
              <w:top w:val="single" w:color="000000" w:sz="4" w:space="0"/>
              <w:left w:val="single" w:color="000000" w:sz="4" w:space="0"/>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4"/>
                <w:szCs w:val="14"/>
                <w:u w:val="none"/>
              </w:rPr>
            </w:pPr>
          </w:p>
        </w:tc>
        <w:tc>
          <w:tcPr>
            <w:tcW w:w="703"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年初预算数</w:t>
            </w:r>
          </w:p>
        </w:tc>
        <w:tc>
          <w:tcPr>
            <w:tcW w:w="575"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全年预算数</w:t>
            </w:r>
          </w:p>
        </w:tc>
        <w:tc>
          <w:tcPr>
            <w:tcW w:w="429"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全年执行数</w:t>
            </w:r>
          </w:p>
        </w:tc>
        <w:tc>
          <w:tcPr>
            <w:tcW w:w="567"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w:t>
            </w:r>
          </w:p>
        </w:tc>
        <w:tc>
          <w:tcPr>
            <w:tcW w:w="392"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执行率</w:t>
            </w:r>
          </w:p>
        </w:tc>
        <w:tc>
          <w:tcPr>
            <w:tcW w:w="972"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97"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年度资金总额：</w:t>
            </w:r>
          </w:p>
        </w:tc>
        <w:tc>
          <w:tcPr>
            <w:tcW w:w="703"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575"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46</w:t>
            </w:r>
          </w:p>
        </w:tc>
        <w:tc>
          <w:tcPr>
            <w:tcW w:w="429"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567"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w:t>
            </w:r>
          </w:p>
        </w:tc>
        <w:tc>
          <w:tcPr>
            <w:tcW w:w="392"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0.0 %</w:t>
            </w:r>
          </w:p>
        </w:tc>
        <w:tc>
          <w:tcPr>
            <w:tcW w:w="972"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97"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财政拨款</w:t>
            </w:r>
          </w:p>
        </w:tc>
        <w:tc>
          <w:tcPr>
            <w:tcW w:w="703"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575"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46</w:t>
            </w:r>
          </w:p>
        </w:tc>
        <w:tc>
          <w:tcPr>
            <w:tcW w:w="429"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567"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392"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0.0 %</w:t>
            </w:r>
          </w:p>
        </w:tc>
        <w:tc>
          <w:tcPr>
            <w:tcW w:w="972"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97"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财政专户管理资金</w:t>
            </w:r>
          </w:p>
        </w:tc>
        <w:tc>
          <w:tcPr>
            <w:tcW w:w="703"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575"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29"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567"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392"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972"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97"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单位资金</w:t>
            </w:r>
          </w:p>
        </w:tc>
        <w:tc>
          <w:tcPr>
            <w:tcW w:w="703"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575"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29"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567"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392"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972"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6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资金管理情况</w:t>
            </w:r>
          </w:p>
        </w:tc>
        <w:tc>
          <w:tcPr>
            <w:tcW w:w="1301" w:type="pct"/>
            <w:gridSpan w:val="2"/>
            <w:tcBorders>
              <w:top w:val="single" w:color="000000" w:sz="4" w:space="0"/>
              <w:left w:val="nil"/>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4"/>
                <w:szCs w:val="14"/>
                <w:u w:val="none"/>
              </w:rPr>
            </w:pPr>
          </w:p>
        </w:tc>
        <w:tc>
          <w:tcPr>
            <w:tcW w:w="1005"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情况说明</w:t>
            </w:r>
          </w:p>
        </w:tc>
        <w:tc>
          <w:tcPr>
            <w:tcW w:w="567"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分值（20）</w:t>
            </w:r>
          </w:p>
        </w:tc>
        <w:tc>
          <w:tcPr>
            <w:tcW w:w="392"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c>
          <w:tcPr>
            <w:tcW w:w="972" w:type="pct"/>
            <w:gridSpan w:val="2"/>
            <w:tcBorders>
              <w:top w:val="single" w:color="000000" w:sz="4" w:space="0"/>
              <w:left w:val="nil"/>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1301" w:type="pct"/>
            <w:gridSpan w:val="2"/>
            <w:tcBorders>
              <w:top w:val="single" w:color="000000" w:sz="4" w:space="0"/>
              <w:left w:val="nil"/>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安排科学性</w:t>
            </w:r>
          </w:p>
        </w:tc>
        <w:tc>
          <w:tcPr>
            <w:tcW w:w="1005" w:type="pct"/>
            <w:gridSpan w:val="2"/>
            <w:tcBorders>
              <w:top w:val="single" w:color="000000" w:sz="4" w:space="0"/>
              <w:left w:val="single" w:color="000000" w:sz="4" w:space="0"/>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4"/>
                <w:szCs w:val="14"/>
                <w:u w:val="none"/>
              </w:rPr>
            </w:pPr>
          </w:p>
        </w:tc>
        <w:tc>
          <w:tcPr>
            <w:tcW w:w="567"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92"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72" w:type="pct"/>
            <w:gridSpan w:val="2"/>
            <w:tcBorders>
              <w:top w:val="single" w:color="000000" w:sz="4" w:space="0"/>
              <w:left w:val="nil"/>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1301" w:type="pct"/>
            <w:gridSpan w:val="2"/>
            <w:tcBorders>
              <w:top w:val="single" w:color="000000" w:sz="4" w:space="0"/>
              <w:left w:val="nil"/>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拨付合规性</w:t>
            </w:r>
          </w:p>
        </w:tc>
        <w:tc>
          <w:tcPr>
            <w:tcW w:w="1005" w:type="pct"/>
            <w:gridSpan w:val="2"/>
            <w:tcBorders>
              <w:top w:val="single" w:color="000000" w:sz="4" w:space="0"/>
              <w:left w:val="single" w:color="000000" w:sz="4" w:space="0"/>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4"/>
                <w:szCs w:val="14"/>
                <w:u w:val="none"/>
              </w:rPr>
            </w:pPr>
          </w:p>
        </w:tc>
        <w:tc>
          <w:tcPr>
            <w:tcW w:w="567"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92"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72" w:type="pct"/>
            <w:gridSpan w:val="2"/>
            <w:tcBorders>
              <w:top w:val="single" w:color="000000" w:sz="4" w:space="0"/>
              <w:left w:val="nil"/>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1301" w:type="pct"/>
            <w:gridSpan w:val="2"/>
            <w:tcBorders>
              <w:top w:val="single" w:color="000000" w:sz="4" w:space="0"/>
              <w:left w:val="nil"/>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使用规范性</w:t>
            </w:r>
          </w:p>
        </w:tc>
        <w:tc>
          <w:tcPr>
            <w:tcW w:w="1005" w:type="pct"/>
            <w:gridSpan w:val="2"/>
            <w:tcBorders>
              <w:top w:val="single" w:color="000000" w:sz="4" w:space="0"/>
              <w:left w:val="single" w:color="000000" w:sz="4" w:space="0"/>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4"/>
                <w:szCs w:val="14"/>
                <w:u w:val="none"/>
              </w:rPr>
            </w:pPr>
          </w:p>
        </w:tc>
        <w:tc>
          <w:tcPr>
            <w:tcW w:w="567"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92"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72" w:type="pct"/>
            <w:gridSpan w:val="2"/>
            <w:tcBorders>
              <w:top w:val="single" w:color="000000" w:sz="4" w:space="0"/>
              <w:left w:val="nil"/>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1301" w:type="pct"/>
            <w:gridSpan w:val="2"/>
            <w:tcBorders>
              <w:top w:val="single" w:color="000000" w:sz="4" w:space="0"/>
              <w:left w:val="nil"/>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预算绩效管理情况</w:t>
            </w:r>
          </w:p>
        </w:tc>
        <w:tc>
          <w:tcPr>
            <w:tcW w:w="1005" w:type="pct"/>
            <w:gridSpan w:val="2"/>
            <w:tcBorders>
              <w:top w:val="single" w:color="000000" w:sz="4" w:space="0"/>
              <w:left w:val="single" w:color="000000" w:sz="4" w:space="0"/>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4"/>
                <w:szCs w:val="14"/>
                <w:u w:val="none"/>
              </w:rPr>
            </w:pPr>
          </w:p>
        </w:tc>
        <w:tc>
          <w:tcPr>
            <w:tcW w:w="567"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92"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72" w:type="pct"/>
            <w:gridSpan w:val="2"/>
            <w:tcBorders>
              <w:top w:val="single" w:color="000000" w:sz="4" w:space="0"/>
              <w:left w:val="nil"/>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年度总体目标</w:t>
            </w:r>
          </w:p>
        </w:tc>
        <w:tc>
          <w:tcPr>
            <w:tcW w:w="1744"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预期目标</w:t>
            </w:r>
          </w:p>
        </w:tc>
        <w:tc>
          <w:tcPr>
            <w:tcW w:w="2936" w:type="pct"/>
            <w:gridSpan w:val="6"/>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8"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1744" w:type="pct"/>
            <w:gridSpan w:val="3"/>
            <w:tcBorders>
              <w:top w:val="single" w:color="000000" w:sz="4" w:space="0"/>
              <w:left w:val="single" w:color="000000" w:sz="4" w:space="0"/>
              <w:bottom w:val="single" w:color="000000" w:sz="4" w:space="0"/>
              <w:right w:val="single" w:color="000000" w:sz="4" w:space="0"/>
            </w:tcBorders>
            <w:noWrap w:val="0"/>
            <w:vAlign w:val="top"/>
          </w:tcPr>
          <w:p>
            <w:pPr>
              <w:keepNext/>
              <w:keepLines w:val="0"/>
              <w:widowControl/>
              <w:suppressLineNumbers w:val="0"/>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庆祝郸城荣膺“中国书法之乡”15周年，为推进全国新时代书法艺术交流，打造郸城文化强县，提升郸城文化自信。</w:t>
            </w:r>
          </w:p>
        </w:tc>
        <w:tc>
          <w:tcPr>
            <w:tcW w:w="2936" w:type="pct"/>
            <w:gridSpan w:val="6"/>
            <w:tcBorders>
              <w:top w:val="single" w:color="000000" w:sz="4" w:space="0"/>
              <w:left w:val="single" w:color="000000" w:sz="4" w:space="0"/>
              <w:bottom w:val="single" w:color="000000" w:sz="4" w:space="0"/>
              <w:right w:val="single" w:color="000000" w:sz="4" w:space="0"/>
            </w:tcBorders>
            <w:noWrap/>
            <w:vAlign w:val="top"/>
          </w:tcPr>
          <w:p>
            <w:pPr>
              <w:keepNext/>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31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一级指标</w:t>
            </w:r>
          </w:p>
        </w:tc>
        <w:tc>
          <w:tcPr>
            <w:tcW w:w="44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二级指标</w:t>
            </w:r>
          </w:p>
        </w:tc>
        <w:tc>
          <w:tcPr>
            <w:tcW w:w="130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三级指标</w:t>
            </w:r>
          </w:p>
        </w:tc>
        <w:tc>
          <w:tcPr>
            <w:tcW w:w="57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年度指标值</w:t>
            </w:r>
          </w:p>
        </w:tc>
        <w:tc>
          <w:tcPr>
            <w:tcW w:w="42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实际值完成值</w:t>
            </w:r>
          </w:p>
        </w:tc>
        <w:tc>
          <w:tcPr>
            <w:tcW w:w="56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w:t>
            </w:r>
          </w:p>
        </w:tc>
        <w:tc>
          <w:tcPr>
            <w:tcW w:w="39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c>
          <w:tcPr>
            <w:tcW w:w="39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偏差度</w:t>
            </w:r>
          </w:p>
        </w:tc>
        <w:tc>
          <w:tcPr>
            <w:tcW w:w="57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318"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443"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130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75"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429"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67"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39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399"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73"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8"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成本指标</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经济成本指标</w:t>
            </w:r>
          </w:p>
        </w:tc>
        <w:tc>
          <w:tcPr>
            <w:tcW w:w="130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活动成本</w:t>
            </w:r>
          </w:p>
        </w:tc>
        <w:tc>
          <w:tcPr>
            <w:tcW w:w="575"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≤46万元</w:t>
            </w:r>
          </w:p>
        </w:tc>
        <w:tc>
          <w:tcPr>
            <w:tcW w:w="42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67"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39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73"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产出指标</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数量指标</w:t>
            </w:r>
          </w:p>
        </w:tc>
        <w:tc>
          <w:tcPr>
            <w:tcW w:w="130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开展展览数</w:t>
            </w:r>
          </w:p>
        </w:tc>
        <w:tc>
          <w:tcPr>
            <w:tcW w:w="575"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≥4场</w:t>
            </w:r>
          </w:p>
        </w:tc>
        <w:tc>
          <w:tcPr>
            <w:tcW w:w="42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67"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39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73"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8"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质量指标</w:t>
            </w:r>
          </w:p>
        </w:tc>
        <w:tc>
          <w:tcPr>
            <w:tcW w:w="130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活动质量合格率</w:t>
            </w:r>
          </w:p>
        </w:tc>
        <w:tc>
          <w:tcPr>
            <w:tcW w:w="575"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42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67"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39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73"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8"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时效指标</w:t>
            </w:r>
          </w:p>
        </w:tc>
        <w:tc>
          <w:tcPr>
            <w:tcW w:w="130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工作完成及时性</w:t>
            </w:r>
          </w:p>
        </w:tc>
        <w:tc>
          <w:tcPr>
            <w:tcW w:w="575"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及时</w:t>
            </w:r>
          </w:p>
        </w:tc>
        <w:tc>
          <w:tcPr>
            <w:tcW w:w="42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67"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39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73"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8"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效益指标</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社会效益指标</w:t>
            </w:r>
          </w:p>
        </w:tc>
        <w:tc>
          <w:tcPr>
            <w:tcW w:w="130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提升文化自信</w:t>
            </w:r>
          </w:p>
        </w:tc>
        <w:tc>
          <w:tcPr>
            <w:tcW w:w="575"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提升</w:t>
            </w:r>
          </w:p>
        </w:tc>
        <w:tc>
          <w:tcPr>
            <w:tcW w:w="42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67"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39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73"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8"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满意度指标</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服务对象满意度指标</w:t>
            </w:r>
          </w:p>
        </w:tc>
        <w:tc>
          <w:tcPr>
            <w:tcW w:w="130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群众满意度</w:t>
            </w:r>
          </w:p>
        </w:tc>
        <w:tc>
          <w:tcPr>
            <w:tcW w:w="575"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≥93%</w:t>
            </w:r>
          </w:p>
        </w:tc>
        <w:tc>
          <w:tcPr>
            <w:tcW w:w="42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67"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39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73"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jc w:val="center"/>
        </w:trPr>
        <w:tc>
          <w:tcPr>
            <w:tcW w:w="3068"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总分</w:t>
            </w:r>
          </w:p>
        </w:tc>
        <w:tc>
          <w:tcPr>
            <w:tcW w:w="567"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39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c>
          <w:tcPr>
            <w:tcW w:w="573"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4"/>
                <w:szCs w:val="14"/>
                <w:u w:val="none"/>
              </w:rPr>
            </w:pPr>
          </w:p>
        </w:tc>
      </w:tr>
    </w:tbl>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4年度部门整体支出进行绩效自评，得分为100分。从自评情况看，各项工作总体完成情况较好，部门履职效能进一步提升。</w:t>
      </w:r>
    </w:p>
    <w:tbl>
      <w:tblPr>
        <w:tblStyle w:val="2"/>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09"/>
        <w:gridCol w:w="564"/>
        <w:gridCol w:w="1395"/>
        <w:gridCol w:w="794"/>
        <w:gridCol w:w="1726"/>
        <w:gridCol w:w="365"/>
        <w:gridCol w:w="669"/>
        <w:gridCol w:w="351"/>
        <w:gridCol w:w="351"/>
        <w:gridCol w:w="911"/>
        <w:gridCol w:w="68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2025年10月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566" w:type="pct"/>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部门（单位）名称</w:t>
            </w:r>
          </w:p>
        </w:tc>
        <w:tc>
          <w:tcPr>
            <w:tcW w:w="3433"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郸城县文学艺术界联合会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部门整体支出情况(万元)</w:t>
            </w:r>
          </w:p>
        </w:tc>
        <w:tc>
          <w:tcPr>
            <w:tcW w:w="1150" w:type="pct"/>
            <w:gridSpan w:val="2"/>
            <w:tcBorders>
              <w:top w:val="single" w:color="000000" w:sz="4" w:space="0"/>
              <w:left w:val="single" w:color="000000" w:sz="4" w:space="0"/>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4"/>
                <w:szCs w:val="14"/>
                <w:u w:val="none"/>
              </w:rPr>
            </w:pPr>
          </w:p>
        </w:tc>
        <w:tc>
          <w:tcPr>
            <w:tcW w:w="4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年初预算数</w:t>
            </w:r>
          </w:p>
        </w:tc>
        <w:tc>
          <w:tcPr>
            <w:tcW w:w="101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全年预算数</w:t>
            </w:r>
          </w:p>
        </w:tc>
        <w:tc>
          <w:tcPr>
            <w:tcW w:w="60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全年执行数</w:t>
            </w:r>
          </w:p>
        </w:tc>
        <w:tc>
          <w:tcPr>
            <w:tcW w:w="41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w:t>
            </w:r>
          </w:p>
        </w:tc>
        <w:tc>
          <w:tcPr>
            <w:tcW w:w="5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执行率</w:t>
            </w:r>
          </w:p>
        </w:tc>
        <w:tc>
          <w:tcPr>
            <w:tcW w:w="39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nil"/>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115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部门预算总额</w:t>
            </w:r>
          </w:p>
        </w:tc>
        <w:tc>
          <w:tcPr>
            <w:tcW w:w="4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78.91</w:t>
            </w:r>
          </w:p>
        </w:tc>
        <w:tc>
          <w:tcPr>
            <w:tcW w:w="101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216.29</w:t>
            </w:r>
          </w:p>
        </w:tc>
        <w:tc>
          <w:tcPr>
            <w:tcW w:w="60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1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w:t>
            </w:r>
          </w:p>
        </w:tc>
        <w:tc>
          <w:tcPr>
            <w:tcW w:w="5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0.0 %</w:t>
            </w:r>
          </w:p>
        </w:tc>
        <w:tc>
          <w:tcPr>
            <w:tcW w:w="39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nil"/>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115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资金来源：（1）财政拨款</w:t>
            </w:r>
          </w:p>
        </w:tc>
        <w:tc>
          <w:tcPr>
            <w:tcW w:w="4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78.91</w:t>
            </w:r>
          </w:p>
        </w:tc>
        <w:tc>
          <w:tcPr>
            <w:tcW w:w="101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208.69</w:t>
            </w:r>
          </w:p>
        </w:tc>
        <w:tc>
          <w:tcPr>
            <w:tcW w:w="60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1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5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0.0 %</w:t>
            </w:r>
          </w:p>
        </w:tc>
        <w:tc>
          <w:tcPr>
            <w:tcW w:w="39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nil"/>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115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（2）财政专户管理资金</w:t>
            </w:r>
          </w:p>
        </w:tc>
        <w:tc>
          <w:tcPr>
            <w:tcW w:w="4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101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60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1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5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39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nil"/>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115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（3）单位资金</w:t>
            </w:r>
          </w:p>
        </w:tc>
        <w:tc>
          <w:tcPr>
            <w:tcW w:w="4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101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7.6</w:t>
            </w:r>
          </w:p>
        </w:tc>
        <w:tc>
          <w:tcPr>
            <w:tcW w:w="60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1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5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0.0 %</w:t>
            </w:r>
          </w:p>
        </w:tc>
        <w:tc>
          <w:tcPr>
            <w:tcW w:w="39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年度履职目标</w:t>
            </w:r>
          </w:p>
        </w:tc>
        <w:tc>
          <w:tcPr>
            <w:tcW w:w="2629"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预期目标</w:t>
            </w:r>
          </w:p>
        </w:tc>
        <w:tc>
          <w:tcPr>
            <w:tcW w:w="1953"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629" w:type="pct"/>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目标1：通过开展“百花迎新乐中原”系列活动、“文艺进万家 健康你我他”“新时代 新征程 争出彩”十大群众性主题文化活动，进一步学习贯彻党的二十大精神，深入学习习近平文化思想，践行爱国、爱民、崇德、尚艺的文艺界核心价值观、大力弘扬奉献、有爱、互助、进步的精神，用文艺的形式传播党的创新理论，推动基层精神文明建设。</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目标2：结合重大节日，开展各类展览活动，丰富群众文化生活文化，营造良好的社会氛围。</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目标3：坚持“以人民为中心”的创作理念，组织文艺家进行文艺创作，外出交流采风，出版文艺作品集，鼓励文艺工作者多出精品，提升郸城文化品牌。</w:t>
            </w:r>
          </w:p>
        </w:tc>
        <w:tc>
          <w:tcPr>
            <w:tcW w:w="1953" w:type="pct"/>
            <w:gridSpan w:val="6"/>
            <w:tcBorders>
              <w:top w:val="single" w:color="000000" w:sz="4" w:space="0"/>
              <w:left w:val="single" w:color="000000" w:sz="4" w:space="0"/>
              <w:bottom w:val="nil"/>
              <w:right w:val="single" w:color="000000" w:sz="4" w:space="0"/>
            </w:tcBorders>
            <w:noWrap w:val="0"/>
            <w:vAlign w:val="top"/>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4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任务名称</w:t>
            </w:r>
          </w:p>
        </w:tc>
        <w:tc>
          <w:tcPr>
            <w:tcW w:w="2298"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主要内容</w:t>
            </w:r>
          </w:p>
        </w:tc>
        <w:tc>
          <w:tcPr>
            <w:tcW w:w="1953"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4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任务1：开展”“新时代 新征程 争出彩”十大群众性主题文化活动。</w:t>
            </w:r>
          </w:p>
        </w:tc>
        <w:tc>
          <w:tcPr>
            <w:tcW w:w="2298"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进一步学习贯彻党的二十大精神，深入学习习近平文化思想，践行爱国、爱民、崇德、尚艺的文艺界核心价值观、大力弘扬奉献、有爱、互助、进步的精神，用文艺的形式传播党的创新理论，推动基层精神文明建设。</w:t>
            </w:r>
          </w:p>
        </w:tc>
        <w:tc>
          <w:tcPr>
            <w:tcW w:w="1953" w:type="pct"/>
            <w:gridSpan w:val="6"/>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4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任务2：结合重大节日，开展各类展览活动。</w:t>
            </w:r>
          </w:p>
        </w:tc>
        <w:tc>
          <w:tcPr>
            <w:tcW w:w="2298"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充分利用春节、五一、十一等重要节日节点，开展形式多样的文艺活动，丰富群众业余文化生活。</w:t>
            </w:r>
          </w:p>
        </w:tc>
        <w:tc>
          <w:tcPr>
            <w:tcW w:w="1953" w:type="pct"/>
            <w:gridSpan w:val="6"/>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4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任务3：组织文艺家进行文艺创作，外出交流采风、出版文艺作品集</w:t>
            </w:r>
          </w:p>
        </w:tc>
        <w:tc>
          <w:tcPr>
            <w:tcW w:w="2298"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鼓励文艺工作者多出精品，提升郸城文化品牌。</w:t>
            </w:r>
          </w:p>
        </w:tc>
        <w:tc>
          <w:tcPr>
            <w:tcW w:w="1953" w:type="pct"/>
            <w:gridSpan w:val="6"/>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一级指标</w:t>
            </w:r>
          </w:p>
        </w:tc>
        <w:tc>
          <w:tcPr>
            <w:tcW w:w="33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二级指标</w:t>
            </w: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三级指标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年度指标值</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实际完成值</w:t>
            </w: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偏差度</w:t>
            </w: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投入管理指标</w:t>
            </w:r>
          </w:p>
        </w:tc>
        <w:tc>
          <w:tcPr>
            <w:tcW w:w="33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工作目标管理</w:t>
            </w: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年度履职目标相关性</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相关</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工作任务科学性</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科学</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绩效指标合理性</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合理</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预算和财务管理</w:t>
            </w: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预算编制完整性</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完整</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专项资金细化率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预算调整率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结转结余率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“三公经费”控制率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政府采购执行率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决算真实性</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真实</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资金使用合规性</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合规</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管理制度健全性</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健全</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预决算信息公开性</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公开</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资产管理规范性</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规范</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绩效管理</w:t>
            </w: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绩效监控完成率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绩效目标编制完成率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绩效自评完成率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部门绩效评价完成率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评价结果应用率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产出指标</w:t>
            </w:r>
          </w:p>
        </w:tc>
        <w:tc>
          <w:tcPr>
            <w:tcW w:w="33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重点工作任务完成</w:t>
            </w: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重点任务1完成率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重点任务2完成率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重点任务3完成率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履职目标实现</w:t>
            </w: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履职目标1实现率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履职目标2实现率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履职目标3实现率</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效益指标</w:t>
            </w:r>
          </w:p>
        </w:tc>
        <w:tc>
          <w:tcPr>
            <w:tcW w:w="33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履职效益</w:t>
            </w: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提升文化品牌</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提升</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3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满意度</w:t>
            </w:r>
          </w:p>
        </w:tc>
        <w:tc>
          <w:tcPr>
            <w:tcW w:w="8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群众满意度</w:t>
            </w:r>
          </w:p>
        </w:tc>
        <w:tc>
          <w:tcPr>
            <w:tcW w:w="147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14"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3" w:hRule="atLeast"/>
          <w:jc w:val="center"/>
        </w:trPr>
        <w:tc>
          <w:tcPr>
            <w:tcW w:w="3260"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总分</w:t>
            </w: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206"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c>
          <w:tcPr>
            <w:tcW w:w="934"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4"/>
                <w:szCs w:val="14"/>
                <w:u w:val="none"/>
              </w:rPr>
            </w:pPr>
          </w:p>
        </w:tc>
      </w:tr>
    </w:tbl>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90" w:lineRule="exact"/>
        <w:ind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0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2B20173"/>
    <w:rsid w:val="5527238A"/>
    <w:rsid w:val="5A5829A6"/>
    <w:rsid w:val="777D0DA1"/>
    <w:rsid w:val="7EDE2C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31</Pages>
  <Words>4504</Words>
  <Characters>6848</Characters>
  <Lines>1</Lines>
  <Paragraphs>1</Paragraphs>
  <TotalTime>129</TotalTime>
  <ScaleCrop>false</ScaleCrop>
  <LinksUpToDate>false</LinksUpToDate>
  <CharactersWithSpaces>7462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2025-12-05T18:56:26Z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eyJoZGlkIjoiMTQ0N2JlOTEyZWIyZTRmOTVkZTQ2YzY0MmY0YmMxYTAiLCJ1c2VySWQiOiIzMzczNzcwOTYifQ==</vt:lpwstr>
  </property>
  <property fmtid="{D5CDD505-2E9C-101B-9397-08002B2CF9AE}" pid="4" name="ICV">
    <vt:lpwstr>7FD636E4C63267115ABA3269B2C48E92</vt:lpwstr>
  </property>
</Properties>
</file>