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郸城县融媒体中心部门决算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郸城县融媒体中心概况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郸城县融媒体中心概况</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（一）贯彻执行党和国家有关新闻宣传、广播电视、报纸、网站和新媒体管理方面的法律、法规和方针、政策，更好引导群众、服务群众，提高县级媒体传播力、引导力、影响力、公信力。</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二）围绕县委、县政府中心工作和重大决策部署，开展宣传报道工作，为郸城经济社会发展服务；承办县委、县政府交办的大型活动的策划、组织和实施；向国家、省、市级党媒等主流媒体供稿，承担并高质量完成全县对外宣传任务。</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三）实施有关广播电视、报纸、网站、新媒体事业和产业发展规划；推进广播电视、报纸、网站、新媒体技术升级改造和良性发展；运用高新技术科研成果，提升广播电视、报纸、网站和新媒体的科技含量和服务水平。</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（四）负责广播电视无线传输的覆盖、维护和安全播出工作；负责广播电视、报纸、网站和新媒体节目栏目内容的多平台播出、发布工作；负责广播电视、报纸、网站和新媒体设施的维护管理工作。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（五）负责广播电视、报纸、网站和新媒体采、编、发队伍建设和通讯员培训工作；研究和推进内部体制及运行机制改革。</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（六）负责广播电视、报纸、网站和新媒体财务和国有资产工作。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（七）立足媒体资源优势，拓展经营媒体广告、影视文化、教育培训、电子商务、智慧城市、商务会展等传媒衍生产业。</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（八）承办县委、县政府交办的其他事项。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郸城县融媒体中心内设机构</w:t>
      </w:r>
      <w:r>
        <w:rPr>
          <w:rFonts w:hint="eastAsia" w:ascii="仿宋_GB2312" w:hAnsi="宋体" w:eastAsia="仿宋_GB2312" w:cs="Courier New"/>
          <w:kern w:val="0"/>
          <w:sz w:val="32"/>
          <w:szCs w:val="32"/>
          <w:lang w:val="en-US" w:eastAsia="zh-CN"/>
        </w:rPr>
        <w:t xml:space="preserve">    9</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 xml:space="preserve">    办公室、人事股、财务股、新闻指挥调度中心、总编室、技术保障部、综合服务部、市场运营部、策划部.</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从决算单位构成看，郸城县融媒体中心部门决算为本级决算。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 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郸城县融媒体中心本级，无二级决算单位。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noWrap w:val="0"/>
            <w:vAlign w:val="top"/>
          </w:tcPr>
          <w:p>
            <w:pPr>
              <w:widowControl w:val="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部门：郸城县融媒体中心</w:t>
            </w:r>
          </w:p>
        </w:tc>
        <w:tc>
          <w:tcPr>
            <w:tcW w:w="2000" w:type="dxa"/>
            <w:noWrap w:val="0"/>
            <w:vAlign w:val="top"/>
          </w:tcPr>
          <w:p>
            <w:pPr>
              <w:widowControl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2024年度</w:t>
            </w:r>
          </w:p>
        </w:tc>
        <w:tc>
          <w:tcPr>
            <w:tcW w:w="5412" w:type="dxa"/>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单位：万元</w:t>
            </w:r>
          </w:p>
        </w:tc>
      </w:tr>
    </w:tbl>
    <w:p>
      <w:pPr>
        <w:snapToGrid w:val="0"/>
        <w:spacing w:before="0" w:after="0" w:line="0" w:lineRule="auto"/>
        <w:jc w:val="both"/>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6420" w:type="dxa"/>
            <w:gridSpan w:val="3"/>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收入</w:t>
            </w:r>
          </w:p>
        </w:tc>
        <w:tc>
          <w:tcPr>
            <w:tcW w:w="6404" w:type="dxa"/>
            <w:gridSpan w:val="3"/>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行次</w:t>
            </w:r>
          </w:p>
        </w:tc>
        <w:tc>
          <w:tcPr>
            <w:tcW w:w="250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金额</w:t>
            </w:r>
          </w:p>
        </w:tc>
        <w:tc>
          <w:tcPr>
            <w:tcW w:w="334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行次</w:t>
            </w:r>
          </w:p>
        </w:tc>
        <w:tc>
          <w:tcPr>
            <w:tcW w:w="2484"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栏次</w:t>
            </w:r>
          </w:p>
        </w:tc>
        <w:tc>
          <w:tcPr>
            <w:tcW w:w="5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50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w:t>
            </w:r>
          </w:p>
        </w:tc>
        <w:tc>
          <w:tcPr>
            <w:tcW w:w="334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栏次</w:t>
            </w:r>
          </w:p>
        </w:tc>
        <w:tc>
          <w:tcPr>
            <w:tcW w:w="5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484"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一、一般公共预算财政拨款收入</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869.77</w:t>
            </w: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一、一般公共服务支出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二、政府性基金预算财政拨款收入</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二、外交支出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32</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三、国有资本经营预算财政拨款收入</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三、国防支出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33</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四、上级补助收入</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四、公共安全支出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34</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五、事业收入</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五、教育支出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35</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六、经营收入</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六、科学技术支出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36</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七、附属单位上缴收入</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七、文化旅游体育与传媒支出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37</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787.60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八、其他收入</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八、社会保障和就业支出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41.68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9</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九、卫生健康支出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18.54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10</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十、节能环保支出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40</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11</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十一、城乡社区支出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41</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12</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十二、农林水支出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42</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13</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十三、交通运输支出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43</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十四、资源勘探工业信息等支出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44</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15</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十五、商业服务业等支出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45</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16</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十六、金融支出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46</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17</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十七、援助其他地区支出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47</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18</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十八、自然资源海洋气象等支出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48</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19</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十九、住房保障支出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49</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21.95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二十、粮油物资储备支出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50</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二十一、国有资本经营预算支出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51</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二十二、灾害防治及应急管理支出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52</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23</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二十三、其他支出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53</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24</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二十四、债务还本支出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54</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25</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二十五、债务付息支出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55</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26</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二十六、抗疫特别国债安排的支出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56</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i w:val="0"/>
                <w:color w:val="000000"/>
                <w:kern w:val="2"/>
                <w:sz w:val="21"/>
                <w:szCs w:val="21"/>
                <w:lang w:val="en-US" w:eastAsia="zh-CN" w:bidi="ar-SA"/>
              </w:rPr>
              <w:t>本年收入合计</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27</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869.77</w:t>
            </w:r>
          </w:p>
        </w:tc>
        <w:tc>
          <w:tcPr>
            <w:tcW w:w="334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i w:val="0"/>
                <w:color w:val="000000"/>
                <w:kern w:val="2"/>
                <w:sz w:val="21"/>
                <w:szCs w:val="21"/>
                <w:lang w:val="en-US" w:eastAsia="zh-CN" w:bidi="ar-SA"/>
              </w:rPr>
              <w:t>本年支出合计</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57</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869.77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使用非财政拨款结余（含专用结余）</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28</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结余分配</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58</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年初结转和结余</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29</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年末结转和结余</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59</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i w:val="0"/>
                <w:color w:val="000000"/>
                <w:kern w:val="2"/>
                <w:sz w:val="21"/>
                <w:szCs w:val="21"/>
                <w:lang w:val="en-US" w:eastAsia="zh-CN" w:bidi="ar-SA"/>
              </w:rPr>
              <w:t>总计</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869.77</w:t>
            </w:r>
          </w:p>
        </w:tc>
        <w:tc>
          <w:tcPr>
            <w:tcW w:w="334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i w:val="0"/>
                <w:color w:val="000000"/>
                <w:kern w:val="2"/>
                <w:sz w:val="21"/>
                <w:szCs w:val="21"/>
                <w:lang w:val="en-US" w:eastAsia="zh-CN" w:bidi="ar-SA"/>
              </w:rPr>
              <w:t>总计</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60</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869.77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tcBorders>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noWrap w:val="0"/>
            <w:vAlign w:val="top"/>
          </w:tcPr>
          <w:p>
            <w:pPr>
              <w:widowControl w:val="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部门：郸城县融媒体中心</w:t>
            </w:r>
          </w:p>
        </w:tc>
        <w:tc>
          <w:tcPr>
            <w:tcW w:w="2000" w:type="dxa"/>
            <w:noWrap w:val="0"/>
            <w:vAlign w:val="top"/>
          </w:tcPr>
          <w:p>
            <w:pPr>
              <w:widowControl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2024年度</w:t>
            </w:r>
          </w:p>
        </w:tc>
        <w:tc>
          <w:tcPr>
            <w:tcW w:w="3513" w:type="dxa"/>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单位：万元</w:t>
            </w:r>
          </w:p>
        </w:tc>
      </w:tr>
    </w:tbl>
    <w:p>
      <w:pPr>
        <w:snapToGrid w:val="0"/>
        <w:spacing w:before="0" w:after="0" w:line="0" w:lineRule="auto"/>
        <w:jc w:val="both"/>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 </w:t>
      </w:r>
    </w:p>
    <w:tbl>
      <w:tblPr>
        <w:tblStyle w:val="2"/>
        <w:tblW w:w="9515"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22"/>
        <w:gridCol w:w="2617"/>
        <w:gridCol w:w="864"/>
        <w:gridCol w:w="864"/>
        <w:gridCol w:w="864"/>
        <w:gridCol w:w="864"/>
        <w:gridCol w:w="864"/>
        <w:gridCol w:w="864"/>
        <w:gridCol w:w="892"/>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3439"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w:t>
            </w:r>
          </w:p>
        </w:tc>
        <w:tc>
          <w:tcPr>
            <w:tcW w:w="864"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本年收入合计</w:t>
            </w:r>
          </w:p>
        </w:tc>
        <w:tc>
          <w:tcPr>
            <w:tcW w:w="864"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财政拨款收入</w:t>
            </w:r>
          </w:p>
        </w:tc>
        <w:tc>
          <w:tcPr>
            <w:tcW w:w="864"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上级补助收入</w:t>
            </w:r>
          </w:p>
        </w:tc>
        <w:tc>
          <w:tcPr>
            <w:tcW w:w="864"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事业收入</w:t>
            </w:r>
          </w:p>
        </w:tc>
        <w:tc>
          <w:tcPr>
            <w:tcW w:w="864"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经营收入</w:t>
            </w:r>
          </w:p>
        </w:tc>
        <w:tc>
          <w:tcPr>
            <w:tcW w:w="864"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附属单位上缴收入</w:t>
            </w:r>
          </w:p>
        </w:tc>
        <w:tc>
          <w:tcPr>
            <w:tcW w:w="892"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822"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功能分类</w:t>
            </w:r>
          </w:p>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科目编码</w:t>
            </w:r>
          </w:p>
        </w:tc>
        <w:tc>
          <w:tcPr>
            <w:tcW w:w="2617"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科目名称</w:t>
            </w:r>
          </w:p>
        </w:tc>
        <w:tc>
          <w:tcPr>
            <w:tcW w:w="86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6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6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6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6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6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92"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822"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2617"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6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6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6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6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6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6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92"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822"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2617"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6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6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6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6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6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6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92"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3439"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栏次</w:t>
            </w:r>
          </w:p>
        </w:tc>
        <w:tc>
          <w:tcPr>
            <w:tcW w:w="864"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w:t>
            </w:r>
          </w:p>
        </w:tc>
        <w:tc>
          <w:tcPr>
            <w:tcW w:w="864"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w:t>
            </w:r>
          </w:p>
        </w:tc>
        <w:tc>
          <w:tcPr>
            <w:tcW w:w="864"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w:t>
            </w:r>
          </w:p>
        </w:tc>
        <w:tc>
          <w:tcPr>
            <w:tcW w:w="864"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w:t>
            </w:r>
          </w:p>
        </w:tc>
        <w:tc>
          <w:tcPr>
            <w:tcW w:w="864"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w:t>
            </w:r>
          </w:p>
        </w:tc>
        <w:tc>
          <w:tcPr>
            <w:tcW w:w="864"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w:t>
            </w:r>
          </w:p>
        </w:tc>
        <w:tc>
          <w:tcPr>
            <w:tcW w:w="892"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3439"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合计</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869.77</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869.77</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92"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22"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207</w:t>
            </w:r>
          </w:p>
        </w:tc>
        <w:tc>
          <w:tcPr>
            <w:tcW w:w="2617"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文化旅游体育与传媒支出</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787.60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787.60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92"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22"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20701</w:t>
            </w:r>
          </w:p>
        </w:tc>
        <w:tc>
          <w:tcPr>
            <w:tcW w:w="2617"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文化和旅游</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49.22</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49.22</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92"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22"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2070199</w:t>
            </w:r>
          </w:p>
        </w:tc>
        <w:tc>
          <w:tcPr>
            <w:tcW w:w="2617"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其他文化和旅游支出</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49.22</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49.22</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92"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22"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20708</w:t>
            </w:r>
          </w:p>
        </w:tc>
        <w:tc>
          <w:tcPr>
            <w:tcW w:w="2617"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广播电视</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738.38</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738.38</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92"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22"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2070808</w:t>
            </w:r>
          </w:p>
        </w:tc>
        <w:tc>
          <w:tcPr>
            <w:tcW w:w="2617"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广播电视事务</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735.55</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735.55</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92"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22"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2070899</w:t>
            </w:r>
          </w:p>
        </w:tc>
        <w:tc>
          <w:tcPr>
            <w:tcW w:w="2617"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其他广播电视支出</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2.83</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2.83</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92"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22"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w:t>
            </w:r>
          </w:p>
        </w:tc>
        <w:tc>
          <w:tcPr>
            <w:tcW w:w="2617"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社会保障和就业支出</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41.68</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41.68</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92"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22"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20805</w:t>
            </w:r>
          </w:p>
        </w:tc>
        <w:tc>
          <w:tcPr>
            <w:tcW w:w="2617"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行政事业单位养老支出</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39.45</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39.45</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92"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22"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2080505</w:t>
            </w:r>
          </w:p>
        </w:tc>
        <w:tc>
          <w:tcPr>
            <w:tcW w:w="2617"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机关事业单位基本养老保险缴费支出</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39.45</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39.45</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92"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22"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20899</w:t>
            </w:r>
          </w:p>
        </w:tc>
        <w:tc>
          <w:tcPr>
            <w:tcW w:w="2617"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其他社会保障和就业支出</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2.23</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2.23</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92"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22"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2089999</w:t>
            </w:r>
          </w:p>
        </w:tc>
        <w:tc>
          <w:tcPr>
            <w:tcW w:w="2617"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其他社会保障和就业支出</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2.23</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2.23</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92"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22"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w:t>
            </w:r>
          </w:p>
        </w:tc>
        <w:tc>
          <w:tcPr>
            <w:tcW w:w="2617"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卫生健康支出</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18.54</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18.54</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92"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22"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21011</w:t>
            </w:r>
          </w:p>
        </w:tc>
        <w:tc>
          <w:tcPr>
            <w:tcW w:w="2617"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行政事业单位医疗</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18.54</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18.54</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92"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22"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2101102</w:t>
            </w:r>
          </w:p>
        </w:tc>
        <w:tc>
          <w:tcPr>
            <w:tcW w:w="2617"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事业单位医疗</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17.10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17.10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92"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22"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2101199</w:t>
            </w:r>
          </w:p>
        </w:tc>
        <w:tc>
          <w:tcPr>
            <w:tcW w:w="2617"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其他行政事业单位医疗支出</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1.44</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1.44</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92"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22"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221</w:t>
            </w:r>
          </w:p>
        </w:tc>
        <w:tc>
          <w:tcPr>
            <w:tcW w:w="2617"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住房保障支出</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21.95</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21.95</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92"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22"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22102</w:t>
            </w:r>
          </w:p>
        </w:tc>
        <w:tc>
          <w:tcPr>
            <w:tcW w:w="2617"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住房改革支出</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21.95</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21.95</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92"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22"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2210201</w:t>
            </w:r>
          </w:p>
        </w:tc>
        <w:tc>
          <w:tcPr>
            <w:tcW w:w="2617"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住房公积金</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21.95</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21.95</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92"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9515" w:type="dxa"/>
            <w:gridSpan w:val="9"/>
            <w:tcBorders>
              <w:left w:val="nil"/>
              <w:bottom w:val="nil"/>
              <w:right w:val="nil"/>
            </w:tcBorders>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noWrap w:val="0"/>
            <w:vAlign w:val="top"/>
          </w:tcPr>
          <w:p>
            <w:pPr>
              <w:widowControl w:val="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部门：郸城县融媒体中心</w:t>
            </w:r>
          </w:p>
        </w:tc>
        <w:tc>
          <w:tcPr>
            <w:tcW w:w="2000" w:type="dxa"/>
            <w:noWrap w:val="0"/>
            <w:vAlign w:val="top"/>
          </w:tcPr>
          <w:p>
            <w:pPr>
              <w:widowControl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2024年度</w:t>
            </w:r>
          </w:p>
        </w:tc>
        <w:tc>
          <w:tcPr>
            <w:tcW w:w="3513" w:type="dxa"/>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单位：万元</w:t>
            </w:r>
          </w:p>
        </w:tc>
      </w:tr>
    </w:tbl>
    <w:p>
      <w:pPr>
        <w:snapToGrid w:val="0"/>
        <w:spacing w:before="0" w:after="0" w:line="0" w:lineRule="auto"/>
        <w:jc w:val="both"/>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54"/>
        <w:gridCol w:w="2888"/>
        <w:gridCol w:w="915"/>
        <w:gridCol w:w="915"/>
        <w:gridCol w:w="915"/>
        <w:gridCol w:w="915"/>
        <w:gridCol w:w="915"/>
        <w:gridCol w:w="86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3742"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w:t>
            </w:r>
          </w:p>
        </w:tc>
        <w:tc>
          <w:tcPr>
            <w:tcW w:w="915"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本年支出合计</w:t>
            </w:r>
          </w:p>
        </w:tc>
        <w:tc>
          <w:tcPr>
            <w:tcW w:w="915"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基本支出</w:t>
            </w:r>
          </w:p>
        </w:tc>
        <w:tc>
          <w:tcPr>
            <w:tcW w:w="915"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项目支出</w:t>
            </w:r>
          </w:p>
        </w:tc>
        <w:tc>
          <w:tcPr>
            <w:tcW w:w="915"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上缴上级支出</w:t>
            </w:r>
          </w:p>
        </w:tc>
        <w:tc>
          <w:tcPr>
            <w:tcW w:w="915"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经营支出</w:t>
            </w:r>
          </w:p>
        </w:tc>
        <w:tc>
          <w:tcPr>
            <w:tcW w:w="8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54"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功能分类</w:t>
            </w:r>
          </w:p>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科目编码</w:t>
            </w:r>
          </w:p>
        </w:tc>
        <w:tc>
          <w:tcPr>
            <w:tcW w:w="2888"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科目名称</w:t>
            </w:r>
          </w:p>
        </w:tc>
        <w:tc>
          <w:tcPr>
            <w:tcW w:w="915"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15"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15"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15"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15"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5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2888"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15"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15"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15"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15"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15"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5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2888"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15"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15"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15"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15"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15"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3742"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栏次</w:t>
            </w:r>
          </w:p>
        </w:tc>
        <w:tc>
          <w:tcPr>
            <w:tcW w:w="915"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w:t>
            </w:r>
          </w:p>
        </w:tc>
        <w:tc>
          <w:tcPr>
            <w:tcW w:w="915"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w:t>
            </w:r>
          </w:p>
        </w:tc>
        <w:tc>
          <w:tcPr>
            <w:tcW w:w="915"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w:t>
            </w:r>
          </w:p>
        </w:tc>
        <w:tc>
          <w:tcPr>
            <w:tcW w:w="915"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w:t>
            </w:r>
          </w:p>
        </w:tc>
        <w:tc>
          <w:tcPr>
            <w:tcW w:w="915"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w:t>
            </w:r>
          </w:p>
        </w:tc>
        <w:tc>
          <w:tcPr>
            <w:tcW w:w="8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3742"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合计</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869.77</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555.88</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313.89</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54"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207</w:t>
            </w:r>
          </w:p>
        </w:tc>
        <w:tc>
          <w:tcPr>
            <w:tcW w:w="2888"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文化旅游体育与传媒支出</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787.60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473.71</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313.89</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54"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20701</w:t>
            </w:r>
          </w:p>
        </w:tc>
        <w:tc>
          <w:tcPr>
            <w:tcW w:w="2888"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文化和旅游</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49.22</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49.22</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54"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2070199</w:t>
            </w:r>
          </w:p>
        </w:tc>
        <w:tc>
          <w:tcPr>
            <w:tcW w:w="2888"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其他文化和旅游支出</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49.22</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49.22</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54"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20708</w:t>
            </w:r>
          </w:p>
        </w:tc>
        <w:tc>
          <w:tcPr>
            <w:tcW w:w="2888"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广播电视</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738.38</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473.71</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264.67</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54"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2070808</w:t>
            </w:r>
          </w:p>
        </w:tc>
        <w:tc>
          <w:tcPr>
            <w:tcW w:w="2888"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广播电视事务</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735.55</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473.71</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261.84</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54"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2070899</w:t>
            </w:r>
          </w:p>
        </w:tc>
        <w:tc>
          <w:tcPr>
            <w:tcW w:w="2888"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其他广播电视支出</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2.83</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2.83</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54"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w:t>
            </w:r>
          </w:p>
        </w:tc>
        <w:tc>
          <w:tcPr>
            <w:tcW w:w="2888"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社会保障和就业支出</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41.68</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41.68</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54"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20805</w:t>
            </w:r>
          </w:p>
        </w:tc>
        <w:tc>
          <w:tcPr>
            <w:tcW w:w="2888"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行政事业单位养老支出</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39.45</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39.45</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54"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2080505</w:t>
            </w:r>
          </w:p>
        </w:tc>
        <w:tc>
          <w:tcPr>
            <w:tcW w:w="2888"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机关事业单位基本养老保险缴费支出</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39.45</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39.45</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54"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20899</w:t>
            </w:r>
          </w:p>
        </w:tc>
        <w:tc>
          <w:tcPr>
            <w:tcW w:w="2888"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其他社会保障和就业支出</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2.23</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2.23</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54"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2089999</w:t>
            </w:r>
          </w:p>
        </w:tc>
        <w:tc>
          <w:tcPr>
            <w:tcW w:w="2888"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其他社会保障和就业支出</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2.23</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2.23</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54"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w:t>
            </w:r>
          </w:p>
        </w:tc>
        <w:tc>
          <w:tcPr>
            <w:tcW w:w="2888"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卫生健康支出</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18.54</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18.54</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54"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21011</w:t>
            </w:r>
          </w:p>
        </w:tc>
        <w:tc>
          <w:tcPr>
            <w:tcW w:w="2888"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行政事业单位医疗</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18.54</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18.54</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54"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2101102</w:t>
            </w:r>
          </w:p>
        </w:tc>
        <w:tc>
          <w:tcPr>
            <w:tcW w:w="2888"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事业单位医疗</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17.10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17.10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54"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2101199</w:t>
            </w:r>
          </w:p>
        </w:tc>
        <w:tc>
          <w:tcPr>
            <w:tcW w:w="2888"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其他行政事业单位医疗支出</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1.44</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1.44</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54"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221</w:t>
            </w:r>
          </w:p>
        </w:tc>
        <w:tc>
          <w:tcPr>
            <w:tcW w:w="2888"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住房保障支出</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21.95</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21.95</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54"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22102</w:t>
            </w:r>
          </w:p>
        </w:tc>
        <w:tc>
          <w:tcPr>
            <w:tcW w:w="2888"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住房改革支出</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21.95</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21.95</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854"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2210201</w:t>
            </w:r>
          </w:p>
        </w:tc>
        <w:tc>
          <w:tcPr>
            <w:tcW w:w="2888"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住房公积金</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21.95</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21.95</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15"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24" w:hRule="exact"/>
          <w:jc w:val="center"/>
        </w:trPr>
        <w:tc>
          <w:tcPr>
            <w:tcW w:w="9177" w:type="dxa"/>
            <w:gridSpan w:val="8"/>
            <w:tcBorders>
              <w:left w:val="nil"/>
              <w:bottom w:val="nil"/>
              <w:right w:val="nil"/>
            </w:tcBorders>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noWrap w:val="0"/>
            <w:vAlign w:val="top"/>
          </w:tcPr>
          <w:p>
            <w:pPr>
              <w:widowControl w:val="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部门：郸城县融媒体中心</w:t>
            </w:r>
          </w:p>
        </w:tc>
        <w:tc>
          <w:tcPr>
            <w:tcW w:w="2000" w:type="dxa"/>
            <w:noWrap w:val="0"/>
            <w:vAlign w:val="top"/>
          </w:tcPr>
          <w:p>
            <w:pPr>
              <w:widowControl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2024年度</w:t>
            </w:r>
          </w:p>
        </w:tc>
        <w:tc>
          <w:tcPr>
            <w:tcW w:w="5412" w:type="dxa"/>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单位：万元</w:t>
            </w:r>
          </w:p>
        </w:tc>
      </w:tr>
    </w:tbl>
    <w:p>
      <w:pPr>
        <w:snapToGrid w:val="0"/>
        <w:spacing w:before="0" w:after="0" w:line="0" w:lineRule="auto"/>
        <w:jc w:val="both"/>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4440" w:type="dxa"/>
            <w:gridSpan w:val="3"/>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收     入</w:t>
            </w:r>
          </w:p>
        </w:tc>
        <w:tc>
          <w:tcPr>
            <w:tcW w:w="8384" w:type="dxa"/>
            <w:gridSpan w:val="6"/>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19" w:hRule="exact"/>
          <w:jc w:val="center"/>
        </w:trPr>
        <w:tc>
          <w:tcPr>
            <w:tcW w:w="26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w:t>
            </w:r>
          </w:p>
        </w:tc>
        <w:tc>
          <w:tcPr>
            <w:tcW w:w="4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行次</w:t>
            </w:r>
          </w:p>
        </w:tc>
        <w:tc>
          <w:tcPr>
            <w:tcW w:w="130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金额</w:t>
            </w:r>
          </w:p>
        </w:tc>
        <w:tc>
          <w:tcPr>
            <w:tcW w:w="26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w:t>
            </w:r>
          </w:p>
        </w:tc>
        <w:tc>
          <w:tcPr>
            <w:tcW w:w="4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行次</w:t>
            </w:r>
          </w:p>
        </w:tc>
        <w:tc>
          <w:tcPr>
            <w:tcW w:w="130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合计</w:t>
            </w:r>
          </w:p>
        </w:tc>
        <w:tc>
          <w:tcPr>
            <w:tcW w:w="130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一般公共预算财政拨款</w:t>
            </w:r>
          </w:p>
        </w:tc>
        <w:tc>
          <w:tcPr>
            <w:tcW w:w="130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政府性基金预算财政拨款</w:t>
            </w:r>
          </w:p>
        </w:tc>
        <w:tc>
          <w:tcPr>
            <w:tcW w:w="1344"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5" w:hRule="exact"/>
          <w:jc w:val="center"/>
        </w:trPr>
        <w:tc>
          <w:tcPr>
            <w:tcW w:w="26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4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栏次</w:t>
            </w:r>
          </w:p>
        </w:tc>
        <w:tc>
          <w:tcPr>
            <w:tcW w:w="46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w:t>
            </w:r>
          </w:p>
        </w:tc>
        <w:tc>
          <w:tcPr>
            <w:tcW w:w="26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栏次</w:t>
            </w:r>
          </w:p>
        </w:tc>
        <w:tc>
          <w:tcPr>
            <w:tcW w:w="46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w:t>
            </w:r>
          </w:p>
        </w:tc>
        <w:tc>
          <w:tcPr>
            <w:tcW w:w="130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w:t>
            </w:r>
          </w:p>
        </w:tc>
        <w:tc>
          <w:tcPr>
            <w:tcW w:w="130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w:t>
            </w:r>
          </w:p>
        </w:tc>
        <w:tc>
          <w:tcPr>
            <w:tcW w:w="1344"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一、一般公共预算财政拨款</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869.77</w:t>
            </w: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一、一般公共服务支出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33</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二、政府性基金预算财政拨款</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二、外交支出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34</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三、国有资本经营预算财政拨款</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三、国防支出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35</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四、公共安全支出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36</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五、教育支出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37</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六、科学技术支出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七、文化旅游体育与传媒支出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787.60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787.60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八、社会保障和就业支出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41.68</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41.68</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9</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九、卫生健康支出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41</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18.54</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18.54</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10</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十、节能环保支出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42</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11</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十一、城乡社区支出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43</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12</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十二、农林水支出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44</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13</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十三、交通运输支出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45</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十四、资源勘探工业信息等支出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46</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15</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十五、商业服务业等支出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47</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16</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十六、金融支出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48</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17</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十七、援助其他地区支出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49</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18</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十八、自然资源海洋气象等支出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19</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十九、住房保障支出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51</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21.95</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21.95</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二十、粮油物资储备支出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52</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二十一、国有资本经营预算支出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53</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二十二、灾害防治及应急管理支出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54</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23</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二十三、其他支出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55</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24</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二十四、债务还本支出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56</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25</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二十五、债务付息支出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57</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26</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二十六、抗疫特别国债安排的支出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58</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i w:val="0"/>
                <w:color w:val="000000"/>
                <w:kern w:val="2"/>
                <w:sz w:val="21"/>
                <w:szCs w:val="21"/>
                <w:lang w:val="en-US" w:eastAsia="zh-CN" w:bidi="ar-SA"/>
              </w:rPr>
              <w:t>本年收入合计</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27</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869.77</w:t>
            </w:r>
          </w:p>
        </w:tc>
        <w:tc>
          <w:tcPr>
            <w:tcW w:w="26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i w:val="0"/>
                <w:color w:val="000000"/>
                <w:kern w:val="2"/>
                <w:sz w:val="21"/>
                <w:szCs w:val="21"/>
                <w:lang w:val="en-US" w:eastAsia="zh-CN" w:bidi="ar-SA"/>
              </w:rPr>
              <w:t>本年支出合计</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59</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869.77</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869.77</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年初财政拨款结转和结余</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28</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年末财政拨款结转和结余</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一般公共预算财政拨款</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29</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61</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44" w:type="dxa"/>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政府性基金预算财政拨款</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44" w:type="dxa"/>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国有资本经营预算财政拨款</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63</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44" w:type="dxa"/>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i w:val="0"/>
                <w:color w:val="000000"/>
                <w:kern w:val="2"/>
                <w:sz w:val="21"/>
                <w:szCs w:val="21"/>
                <w:lang w:val="en-US" w:eastAsia="zh-CN" w:bidi="ar-SA"/>
              </w:rPr>
              <w:t>总计</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32</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869.77</w:t>
            </w:r>
          </w:p>
        </w:tc>
        <w:tc>
          <w:tcPr>
            <w:tcW w:w="26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i w:val="0"/>
                <w:color w:val="000000"/>
                <w:kern w:val="2"/>
                <w:sz w:val="21"/>
                <w:szCs w:val="21"/>
                <w:lang w:val="en-US" w:eastAsia="zh-CN" w:bidi="ar-SA"/>
              </w:rPr>
              <w:t>总计</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64</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869.77</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869.77</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tcBorders>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noWrap w:val="0"/>
            <w:vAlign w:val="top"/>
          </w:tcPr>
          <w:p>
            <w:pPr>
              <w:widowControl w:val="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部门：郸城县融媒体中心</w:t>
            </w:r>
          </w:p>
        </w:tc>
        <w:tc>
          <w:tcPr>
            <w:tcW w:w="2000" w:type="dxa"/>
            <w:noWrap w:val="0"/>
            <w:vAlign w:val="top"/>
          </w:tcPr>
          <w:p>
            <w:pPr>
              <w:widowControl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2024年度</w:t>
            </w:r>
          </w:p>
        </w:tc>
        <w:tc>
          <w:tcPr>
            <w:tcW w:w="3513" w:type="dxa"/>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单位：万元</w:t>
            </w:r>
          </w:p>
        </w:tc>
      </w:tr>
    </w:tbl>
    <w:p>
      <w:pPr>
        <w:snapToGrid w:val="0"/>
        <w:spacing w:before="0" w:after="0" w:line="0" w:lineRule="auto"/>
        <w:jc w:val="both"/>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472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w:t>
            </w:r>
          </w:p>
        </w:tc>
        <w:tc>
          <w:tcPr>
            <w:tcW w:w="4306" w:type="dxa"/>
            <w:gridSpan w:val="3"/>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功能分类</w:t>
            </w:r>
          </w:p>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科目编码</w:t>
            </w:r>
          </w:p>
        </w:tc>
        <w:tc>
          <w:tcPr>
            <w:tcW w:w="37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科目名称</w:t>
            </w:r>
          </w:p>
        </w:tc>
        <w:tc>
          <w:tcPr>
            <w:tcW w:w="144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小计</w:t>
            </w:r>
          </w:p>
        </w:tc>
        <w:tc>
          <w:tcPr>
            <w:tcW w:w="144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基本支出</w:t>
            </w:r>
          </w:p>
        </w:tc>
        <w:tc>
          <w:tcPr>
            <w:tcW w:w="1426"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8" w:hRule="exact"/>
          <w:jc w:val="center"/>
        </w:trPr>
        <w:tc>
          <w:tcPr>
            <w:tcW w:w="9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37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44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44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426"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37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44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44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426"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472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栏次</w:t>
            </w:r>
          </w:p>
        </w:tc>
        <w:tc>
          <w:tcPr>
            <w:tcW w:w="144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w:t>
            </w:r>
          </w:p>
        </w:tc>
        <w:tc>
          <w:tcPr>
            <w:tcW w:w="144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w:t>
            </w:r>
          </w:p>
        </w:tc>
        <w:tc>
          <w:tcPr>
            <w:tcW w:w="1426"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472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合计</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869.77</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555.88</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313.89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207</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文化旅游体育与传媒支出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787.60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473.71</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313.89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20701</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文化和旅游</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49.22</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49.22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2070199</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其他文化和旅游支出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49.22</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49.22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20708</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广播电视</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738.38</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473.71</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264.67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2070808</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广播电视事务</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735.55</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473.71</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261.84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2070899</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其他广播电视支出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2.83</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2.83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社会保障和就业支出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41.68</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41.68</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20805</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行政事业单位养老支出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39.45</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39.45</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2080505</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机关事业单位基本养老保险缴费支出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39.45</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39.45</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20899</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其他社会保障和就业支出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2.23</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2.23</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2089999</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其他社会保障和就业支出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2.23</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2.23</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卫生健康支出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18.54</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18.54</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21011</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行政事业单位医疗</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18.54</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18.54</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2101102</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事业单位医疗</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17.10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17.10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2101199</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其他行政事业单位医疗支出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1.44</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1.44</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221</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住房保障支出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21.95</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21.95</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22102</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住房改革支出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21.95</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21.95</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2210201</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住房公积金</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21.95</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21.95</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tcBorders>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noWrap w:val="0"/>
            <w:vAlign w:val="top"/>
          </w:tcPr>
          <w:p>
            <w:pPr>
              <w:widowControl w:val="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部门：郸城县融媒体中心</w:t>
            </w:r>
          </w:p>
        </w:tc>
        <w:tc>
          <w:tcPr>
            <w:tcW w:w="2000" w:type="dxa"/>
            <w:noWrap w:val="0"/>
            <w:vAlign w:val="top"/>
          </w:tcPr>
          <w:p>
            <w:pPr>
              <w:widowControl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2024年度</w:t>
            </w:r>
          </w:p>
        </w:tc>
        <w:tc>
          <w:tcPr>
            <w:tcW w:w="5412" w:type="dxa"/>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单位：万元</w:t>
            </w:r>
          </w:p>
        </w:tc>
      </w:tr>
    </w:tbl>
    <w:p>
      <w:pPr>
        <w:snapToGrid w:val="0"/>
        <w:spacing w:before="0" w:after="0" w:line="0" w:lineRule="auto"/>
        <w:jc w:val="both"/>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4140" w:type="dxa"/>
            <w:gridSpan w:val="3"/>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人员经费</w:t>
            </w:r>
          </w:p>
        </w:tc>
        <w:tc>
          <w:tcPr>
            <w:tcW w:w="8684" w:type="dxa"/>
            <w:gridSpan w:val="6"/>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经济分类科目编码</w:t>
            </w:r>
          </w:p>
        </w:tc>
        <w:tc>
          <w:tcPr>
            <w:tcW w:w="23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科目名称</w:t>
            </w:r>
          </w:p>
        </w:tc>
        <w:tc>
          <w:tcPr>
            <w:tcW w:w="9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决算数</w:t>
            </w:r>
          </w:p>
        </w:tc>
        <w:tc>
          <w:tcPr>
            <w:tcW w:w="80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经济分类科目编码</w:t>
            </w:r>
          </w:p>
        </w:tc>
        <w:tc>
          <w:tcPr>
            <w:tcW w:w="23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科目名称</w:t>
            </w:r>
          </w:p>
        </w:tc>
        <w:tc>
          <w:tcPr>
            <w:tcW w:w="9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决算数</w:t>
            </w:r>
          </w:p>
        </w:tc>
        <w:tc>
          <w:tcPr>
            <w:tcW w:w="80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经济分类科目编码</w:t>
            </w:r>
          </w:p>
        </w:tc>
        <w:tc>
          <w:tcPr>
            <w:tcW w:w="27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科目名称</w:t>
            </w:r>
          </w:p>
        </w:tc>
        <w:tc>
          <w:tcPr>
            <w:tcW w:w="964"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2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2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27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6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工资福利支出</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547.88</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商品和服务支出</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307</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债务利息及费用支出</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30101</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基本工资</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410.52</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30201</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办公费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1.03</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30701</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国内债务付息</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30102</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津贴补贴</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1.94</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30202</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印刷费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30702</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国外债务付息</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30103</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奖金</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30203</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咨询费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资本性支出</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30106</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伙食补助费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30204</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手续费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31001</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房屋建筑物购建</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30107</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绩效工资</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53.26</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30205</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水费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31002</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办公设备购置</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30108</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机关事业单位基本养老保险缴费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39.45</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30206</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电费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31003</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专用设备购置</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30109</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职业年金缴费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30207</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邮电费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0.08</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31005</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基础设施建设</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30110</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职工基本医疗保险缴费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17.10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30208</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取暖费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31006</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大型修缮</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30111</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公务员医疗补助缴费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30209</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物业管理费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31007</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信息网络及软件购置更新</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30112</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其他社会保障缴费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3.67</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30211</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差旅费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1.29</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31008</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物资储备</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30113</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住房公积金</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21.95</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30212</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因公出国（境）费用</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31009</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土地补偿</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30114</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医疗费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30213</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维修（护）费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1.12</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31010</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安置补助</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30199</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其他工资福利支出</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30214</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租赁费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31011</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地上附着物和青苗补偿</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对个人和家庭的补助</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30215</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会议费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31012</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拆迁补偿</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30301</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离休费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30216</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培训费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31013</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公务用车购置</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30302</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退休费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30217</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公务接待费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31019</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其他交通工具购置</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30303</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退职（役）费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30218</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专用材料费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31021</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文物和陈列品购置</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30304</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抚恤金</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30224</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被装购置费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31022</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无形资产购置</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30305</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生活补助</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30225</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专用燃料费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31099</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其他资本性支出</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30306</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救济费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30226</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劳务费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399</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其他支出</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30307</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医疗费补助</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30227</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委托业务费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39907</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国家赔偿费用支出</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30308</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助学金</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30228</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工会经费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39908</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对民间非营利组织和群众性自治组织补贴</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30309</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奖励金</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30229</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福利费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39909</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经常性赠与</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30310</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个人农业生产补贴</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30231</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公务用车运行维护费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39910</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资本性赠与</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30311</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代缴社会保险费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30239</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其他交通费用</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39999</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其他支出</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30399</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其他对个人和家庭的补助</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30240</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税金及附加费用</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7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964" w:type="dxa"/>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3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960" w:type="dxa"/>
            <w:noWrap w:val="0"/>
            <w:vAlign w:val="center"/>
          </w:tcPr>
          <w:p>
            <w:pPr>
              <w:widowControl w:val="0"/>
              <w:jc w:val="both"/>
              <w:rPr>
                <w:rFonts w:hint="eastAsia" w:ascii="宋体" w:hAnsi="宋体" w:eastAsia="宋体" w:cs="宋体"/>
                <w:kern w:val="2"/>
                <w:sz w:val="21"/>
                <w:szCs w:val="21"/>
                <w:lang w:val="en-US" w:eastAsia="zh-CN" w:bidi="ar-SA"/>
              </w:rPr>
            </w:pP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30299</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其他商品和服务支出</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1.46</w:t>
            </w:r>
          </w:p>
        </w:tc>
        <w:tc>
          <w:tcPr>
            <w:tcW w:w="8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7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964" w:type="dxa"/>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318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人员经费合计</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547.88</w:t>
            </w:r>
          </w:p>
        </w:tc>
        <w:tc>
          <w:tcPr>
            <w:tcW w:w="7720" w:type="dxa"/>
            <w:gridSpan w:val="5"/>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公用经费合计</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tcBorders>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noWrap w:val="0"/>
            <w:vAlign w:val="top"/>
          </w:tcPr>
          <w:p>
            <w:pPr>
              <w:widowControl w:val="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部门：郸城县融媒体中心</w:t>
            </w:r>
          </w:p>
        </w:tc>
        <w:tc>
          <w:tcPr>
            <w:tcW w:w="2000" w:type="dxa"/>
            <w:noWrap w:val="0"/>
            <w:vAlign w:val="top"/>
          </w:tcPr>
          <w:p>
            <w:pPr>
              <w:widowControl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2024年度</w:t>
            </w:r>
          </w:p>
        </w:tc>
        <w:tc>
          <w:tcPr>
            <w:tcW w:w="5979" w:type="dxa"/>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单位：万元</w:t>
            </w:r>
          </w:p>
        </w:tc>
      </w:tr>
    </w:tbl>
    <w:p>
      <w:pPr>
        <w:snapToGrid w:val="0"/>
        <w:spacing w:before="0" w:after="0" w:line="0" w:lineRule="auto"/>
        <w:jc w:val="both"/>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570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w:t>
            </w:r>
          </w:p>
        </w:tc>
        <w:tc>
          <w:tcPr>
            <w:tcW w:w="13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年初结转和结余</w:t>
            </w:r>
          </w:p>
        </w:tc>
        <w:tc>
          <w:tcPr>
            <w:tcW w:w="13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本年收入</w:t>
            </w:r>
          </w:p>
        </w:tc>
        <w:tc>
          <w:tcPr>
            <w:tcW w:w="4140" w:type="dxa"/>
            <w:gridSpan w:val="3"/>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本年支出</w:t>
            </w:r>
          </w:p>
        </w:tc>
        <w:tc>
          <w:tcPr>
            <w:tcW w:w="1358"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功能分类</w:t>
            </w:r>
          </w:p>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科目编码</w:t>
            </w:r>
          </w:p>
        </w:tc>
        <w:tc>
          <w:tcPr>
            <w:tcW w:w="43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科目名称</w:t>
            </w: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小计</w:t>
            </w:r>
          </w:p>
        </w:tc>
        <w:tc>
          <w:tcPr>
            <w:tcW w:w="13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基本支出</w:t>
            </w:r>
          </w:p>
        </w:tc>
        <w:tc>
          <w:tcPr>
            <w:tcW w:w="13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项目支出</w:t>
            </w:r>
          </w:p>
        </w:tc>
        <w:tc>
          <w:tcPr>
            <w:tcW w:w="1358"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4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58"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4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58"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570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栏次</w:t>
            </w:r>
          </w:p>
        </w:tc>
        <w:tc>
          <w:tcPr>
            <w:tcW w:w="13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w:t>
            </w:r>
          </w:p>
        </w:tc>
        <w:tc>
          <w:tcPr>
            <w:tcW w:w="13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w:t>
            </w:r>
          </w:p>
        </w:tc>
        <w:tc>
          <w:tcPr>
            <w:tcW w:w="13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w:t>
            </w:r>
          </w:p>
        </w:tc>
        <w:tc>
          <w:tcPr>
            <w:tcW w:w="13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w:t>
            </w:r>
          </w:p>
        </w:tc>
        <w:tc>
          <w:tcPr>
            <w:tcW w:w="13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w:t>
            </w:r>
          </w:p>
        </w:tc>
        <w:tc>
          <w:tcPr>
            <w:tcW w:w="1358"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570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合计</w:t>
            </w:r>
          </w:p>
        </w:tc>
        <w:tc>
          <w:tcPr>
            <w:tcW w:w="13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58" w:type="dxa"/>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3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58" w:type="dxa"/>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tcBorders>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说明：我部门没有政府性基金收入，也没有使用政府性基金安排的支出，故本表无数据。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1"/>
                <w:lang w:val="en-US" w:eastAsia="zh-CN" w:bidi="ar-SA"/>
              </w:rPr>
            </w:pPr>
            <w:r>
              <w:rPr>
                <w:rFonts w:ascii="宋体" w:hAnsi="宋体" w:eastAsia="宋体" w:cs="宋体"/>
                <w:kern w:val="2"/>
                <w:sz w:val="21"/>
                <w:szCs w:val="21"/>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1"/>
                <w:lang w:val="en-US" w:eastAsia="zh-CN" w:bidi="ar-SA"/>
              </w:rPr>
            </w:pPr>
            <w:r>
              <w:rPr>
                <w:rFonts w:ascii="宋体" w:hAnsi="宋体" w:eastAsia="宋体" w:cs="宋体"/>
                <w:kern w:val="2"/>
                <w:sz w:val="21"/>
                <w:szCs w:val="21"/>
                <w:lang w:val="en-US" w:eastAsia="zh-CN" w:bidi="ar-SA"/>
              </w:rPr>
              <w:t>部门：郸城县融媒体中心</w:t>
            </w:r>
          </w:p>
        </w:tc>
        <w:tc>
          <w:tcPr>
            <w:tcW w:w="2000" w:type="dxa"/>
            <w:noWrap w:val="0"/>
            <w:vAlign w:val="top"/>
          </w:tcPr>
          <w:p>
            <w:pPr>
              <w:widowControl w:val="0"/>
              <w:jc w:val="center"/>
              <w:rPr>
                <w:rFonts w:ascii="Times New Roman" w:hAnsi="Times New Roman" w:eastAsia="宋体" w:cs="Times New Roman"/>
                <w:kern w:val="2"/>
                <w:sz w:val="21"/>
                <w:szCs w:val="21"/>
                <w:lang w:val="en-US" w:eastAsia="zh-CN" w:bidi="ar-SA"/>
              </w:rPr>
            </w:pPr>
            <w:r>
              <w:rPr>
                <w:rFonts w:ascii="宋体" w:hAnsi="宋体" w:eastAsia="宋体" w:cs="宋体"/>
                <w:kern w:val="2"/>
                <w:sz w:val="21"/>
                <w:szCs w:val="21"/>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1"/>
                <w:lang w:val="en-US" w:eastAsia="zh-CN" w:bidi="ar-SA"/>
              </w:rPr>
            </w:pPr>
            <w:r>
              <w:rPr>
                <w:rFonts w:ascii="宋体" w:hAnsi="宋体" w:eastAsia="宋体" w:cs="宋体"/>
                <w:kern w:val="2"/>
                <w:sz w:val="21"/>
                <w:szCs w:val="21"/>
                <w:lang w:val="en-US" w:eastAsia="zh-CN" w:bidi="ar-SA"/>
              </w:rPr>
              <w:t>单位：万元</w:t>
            </w:r>
          </w:p>
        </w:tc>
      </w:tr>
    </w:tbl>
    <w:p>
      <w:pPr>
        <w:snapToGrid w:val="0"/>
        <w:spacing w:before="0" w:after="0" w:line="0" w:lineRule="auto"/>
        <w:jc w:val="both"/>
        <w:rPr>
          <w:sz w:val="21"/>
          <w:szCs w:val="21"/>
          <w:lang w:val="en-US" w:eastAsia="zh-CN"/>
        </w:rPr>
      </w:pPr>
      <w:r>
        <w:rPr>
          <w:sz w:val="21"/>
          <w:szCs w:val="21"/>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1"/>
                <w:lang w:val="en-US" w:eastAsia="zh-CN" w:bidi="ar-SA"/>
              </w:rPr>
            </w:pPr>
            <w:r>
              <w:rPr>
                <w:rFonts w:ascii="宋体" w:hAnsi="宋体" w:eastAsia="宋体" w:cs="宋体"/>
                <w:b w:val="0"/>
                <w:i w:val="0"/>
                <w:color w:val="000000"/>
                <w:kern w:val="2"/>
                <w:sz w:val="21"/>
                <w:szCs w:val="21"/>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1"/>
                <w:lang w:val="en-US" w:eastAsia="zh-CN" w:bidi="ar-SA"/>
              </w:rPr>
            </w:pPr>
            <w:r>
              <w:rPr>
                <w:rFonts w:ascii="宋体" w:hAnsi="宋体" w:eastAsia="宋体" w:cs="宋体"/>
                <w:b w:val="0"/>
                <w:i w:val="0"/>
                <w:color w:val="000000"/>
                <w:kern w:val="2"/>
                <w:sz w:val="21"/>
                <w:szCs w:val="21"/>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1"/>
                <w:lang w:val="en-US" w:eastAsia="zh-CN" w:bidi="ar-SA"/>
              </w:rPr>
            </w:pPr>
            <w:r>
              <w:rPr>
                <w:rFonts w:ascii="宋体" w:hAnsi="宋体" w:eastAsia="宋体" w:cs="宋体"/>
                <w:b w:val="0"/>
                <w:i w:val="0"/>
                <w:color w:val="000000"/>
                <w:kern w:val="2"/>
                <w:sz w:val="21"/>
                <w:szCs w:val="21"/>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1"/>
                <w:lang w:val="en-US" w:eastAsia="zh-CN" w:bidi="ar-SA"/>
              </w:rPr>
            </w:pPr>
            <w:r>
              <w:rPr>
                <w:rFonts w:ascii="宋体" w:hAnsi="宋体" w:eastAsia="宋体" w:cs="宋体"/>
                <w:b w:val="0"/>
                <w:i w:val="0"/>
                <w:color w:val="000000"/>
                <w:kern w:val="2"/>
                <w:sz w:val="21"/>
                <w:szCs w:val="21"/>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1"/>
                <w:lang w:val="en-US" w:eastAsia="zh-CN" w:bidi="ar-SA"/>
              </w:rPr>
            </w:pPr>
            <w:r>
              <w:rPr>
                <w:rFonts w:ascii="宋体" w:hAnsi="宋体" w:eastAsia="宋体" w:cs="宋体"/>
                <w:b w:val="0"/>
                <w:i w:val="0"/>
                <w:color w:val="000000"/>
                <w:kern w:val="2"/>
                <w:sz w:val="21"/>
                <w:szCs w:val="21"/>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1"/>
                <w:lang w:val="en-US" w:eastAsia="zh-CN" w:bidi="ar-SA"/>
              </w:rPr>
            </w:pPr>
            <w:r>
              <w:rPr>
                <w:rFonts w:ascii="宋体" w:hAnsi="宋体" w:eastAsia="宋体" w:cs="宋体"/>
                <w:b w:val="0"/>
                <w:i w:val="0"/>
                <w:color w:val="000000"/>
                <w:kern w:val="2"/>
                <w:sz w:val="21"/>
                <w:szCs w:val="21"/>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1"/>
                <w:lang w:val="en-US" w:eastAsia="zh-CN" w:bidi="ar-SA"/>
              </w:rPr>
            </w:pPr>
            <w:r>
              <w:rPr>
                <w:rFonts w:ascii="宋体" w:hAnsi="宋体" w:eastAsia="宋体" w:cs="宋体"/>
                <w:b w:val="0"/>
                <w:i w:val="0"/>
                <w:color w:val="000000"/>
                <w:kern w:val="2"/>
                <w:sz w:val="21"/>
                <w:szCs w:val="21"/>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1"/>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1"/>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1"/>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1"/>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1"/>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1"/>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1"/>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1"/>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1"/>
                <w:lang w:val="en-US" w:eastAsia="zh-CN" w:bidi="ar-SA"/>
              </w:rPr>
            </w:pPr>
            <w:r>
              <w:rPr>
                <w:rFonts w:ascii="宋体" w:hAnsi="宋体" w:eastAsia="宋体" w:cs="宋体"/>
                <w:b w:val="0"/>
                <w:i w:val="0"/>
                <w:color w:val="000000"/>
                <w:kern w:val="2"/>
                <w:sz w:val="21"/>
                <w:szCs w:val="21"/>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1"/>
                <w:lang w:val="en-US" w:eastAsia="zh-CN" w:bidi="ar-SA"/>
              </w:rPr>
            </w:pPr>
            <w:r>
              <w:rPr>
                <w:rFonts w:ascii="宋体" w:hAnsi="宋体" w:eastAsia="宋体" w:cs="宋体"/>
                <w:b w:val="0"/>
                <w:i w:val="0"/>
                <w:color w:val="000000"/>
                <w:kern w:val="2"/>
                <w:sz w:val="21"/>
                <w:szCs w:val="21"/>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1"/>
                <w:lang w:val="en-US" w:eastAsia="zh-CN" w:bidi="ar-SA"/>
              </w:rPr>
            </w:pPr>
            <w:r>
              <w:rPr>
                <w:rFonts w:ascii="宋体" w:hAnsi="宋体" w:eastAsia="宋体" w:cs="宋体"/>
                <w:b w:val="0"/>
                <w:i w:val="0"/>
                <w:color w:val="000000"/>
                <w:kern w:val="2"/>
                <w:sz w:val="21"/>
                <w:szCs w:val="21"/>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1"/>
                <w:lang w:val="en-US" w:eastAsia="zh-CN" w:bidi="ar-SA"/>
              </w:rPr>
            </w:pPr>
            <w:r>
              <w:rPr>
                <w:rFonts w:ascii="宋体" w:hAnsi="宋体" w:eastAsia="宋体" w:cs="宋体"/>
                <w:b w:val="0"/>
                <w:i w:val="0"/>
                <w:color w:val="000000"/>
                <w:kern w:val="2"/>
                <w:sz w:val="21"/>
                <w:szCs w:val="21"/>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1"/>
                <w:lang w:val="en-US" w:eastAsia="zh-CN" w:bidi="ar-SA"/>
              </w:rPr>
            </w:pPr>
            <w:r>
              <w:rPr>
                <w:rFonts w:ascii="宋体" w:hAnsi="宋体" w:eastAsia="宋体" w:cs="宋体"/>
                <w:b w:val="0"/>
                <w:i w:val="0"/>
                <w:color w:val="000000"/>
                <w:kern w:val="2"/>
                <w:sz w:val="21"/>
                <w:szCs w:val="21"/>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1"/>
                <w:lang w:val="en-US" w:eastAsia="zh-CN" w:bidi="ar-SA"/>
              </w:rPr>
            </w:pPr>
            <w:r>
              <w:rPr>
                <w:rFonts w:ascii="宋体" w:hAnsi="宋体" w:eastAsia="宋体" w:cs="宋体"/>
                <w:b w:val="0"/>
                <w:i w:val="0"/>
                <w:color w:val="000000"/>
                <w:kern w:val="2"/>
                <w:sz w:val="21"/>
                <w:szCs w:val="21"/>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1"/>
                <w:lang w:val="en-US" w:eastAsia="zh-CN" w:bidi="ar-SA"/>
              </w:rPr>
            </w:pPr>
            <w:r>
              <w:rPr>
                <w:rFonts w:ascii="宋体" w:hAnsi="宋体" w:eastAsia="宋体" w:cs="宋体"/>
                <w:b w:val="0"/>
                <w:i w:val="0"/>
                <w:color w:val="000000"/>
                <w:kern w:val="2"/>
                <w:sz w:val="21"/>
                <w:szCs w:val="21"/>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1"/>
                <w:lang w:val="en-US" w:eastAsia="zh-CN" w:bidi="ar-SA"/>
              </w:rPr>
            </w:pPr>
            <w:r>
              <w:rPr>
                <w:rFonts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1"/>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1"/>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1"/>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1"/>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1"/>
                <w:lang w:val="en-US" w:eastAsia="zh-CN" w:bidi="ar-SA"/>
              </w:rPr>
            </w:pPr>
            <w:r>
              <w:rPr>
                <w:rFonts w:ascii="宋体" w:hAnsi="宋体" w:eastAsia="宋体" w:cs="宋体"/>
                <w:b w:val="0"/>
                <w:i w:val="0"/>
                <w:color w:val="000000"/>
                <w:kern w:val="2"/>
                <w:sz w:val="21"/>
                <w:szCs w:val="21"/>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noWrap w:val="0"/>
            <w:vAlign w:val="top"/>
          </w:tcPr>
          <w:p>
            <w:pPr>
              <w:widowControl w:val="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部门：郸城县融媒体中心</w:t>
            </w:r>
          </w:p>
        </w:tc>
        <w:tc>
          <w:tcPr>
            <w:tcW w:w="2000" w:type="dxa"/>
            <w:noWrap w:val="0"/>
            <w:vAlign w:val="top"/>
          </w:tcPr>
          <w:p>
            <w:pPr>
              <w:widowControl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2024年度</w:t>
            </w:r>
          </w:p>
        </w:tc>
        <w:tc>
          <w:tcPr>
            <w:tcW w:w="5979" w:type="dxa"/>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单位：万元</w:t>
            </w:r>
          </w:p>
        </w:tc>
      </w:tr>
    </w:tbl>
    <w:p>
      <w:pPr>
        <w:snapToGrid w:val="0"/>
        <w:spacing w:before="0" w:after="0" w:line="0" w:lineRule="auto"/>
        <w:jc w:val="both"/>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1" w:hRule="exact"/>
          <w:jc w:val="center"/>
        </w:trPr>
        <w:tc>
          <w:tcPr>
            <w:tcW w:w="6960" w:type="dxa"/>
            <w:gridSpan w:val="6"/>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预算数</w:t>
            </w:r>
          </w:p>
        </w:tc>
        <w:tc>
          <w:tcPr>
            <w:tcW w:w="6998" w:type="dxa"/>
            <w:gridSpan w:val="6"/>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1" w:hRule="exact"/>
          <w:jc w:val="center"/>
        </w:trPr>
        <w:tc>
          <w:tcPr>
            <w:tcW w:w="11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合计</w:t>
            </w:r>
          </w:p>
        </w:tc>
        <w:tc>
          <w:tcPr>
            <w:tcW w:w="11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因公出国（境）费</w:t>
            </w:r>
          </w:p>
        </w:tc>
        <w:tc>
          <w:tcPr>
            <w:tcW w:w="3480" w:type="dxa"/>
            <w:gridSpan w:val="3"/>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公务用车购置及运行维护费</w:t>
            </w:r>
          </w:p>
        </w:tc>
        <w:tc>
          <w:tcPr>
            <w:tcW w:w="11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公务接待费</w:t>
            </w:r>
          </w:p>
        </w:tc>
        <w:tc>
          <w:tcPr>
            <w:tcW w:w="11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合计</w:t>
            </w:r>
          </w:p>
        </w:tc>
        <w:tc>
          <w:tcPr>
            <w:tcW w:w="11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因公出国（境）费</w:t>
            </w:r>
          </w:p>
        </w:tc>
        <w:tc>
          <w:tcPr>
            <w:tcW w:w="3480" w:type="dxa"/>
            <w:gridSpan w:val="3"/>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公务用车购置及运行维护费</w:t>
            </w:r>
          </w:p>
        </w:tc>
        <w:tc>
          <w:tcPr>
            <w:tcW w:w="1198"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42" w:hRule="exact"/>
          <w:jc w:val="center"/>
        </w:trPr>
        <w:tc>
          <w:tcPr>
            <w:tcW w:w="11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1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小计</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公务用车购置费</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公务用车运行维护费</w:t>
            </w:r>
          </w:p>
        </w:tc>
        <w:tc>
          <w:tcPr>
            <w:tcW w:w="11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1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1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小计</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公务用车购置费</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公务用车运行维护费</w:t>
            </w:r>
          </w:p>
        </w:tc>
        <w:tc>
          <w:tcPr>
            <w:tcW w:w="1198"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1" w:hRule="exact"/>
          <w:jc w:val="center"/>
        </w:trPr>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9</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10</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11</w:t>
            </w:r>
          </w:p>
        </w:tc>
        <w:tc>
          <w:tcPr>
            <w:tcW w:w="1198"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1" w:hRule="exact"/>
          <w:jc w:val="center"/>
        </w:trPr>
        <w:tc>
          <w:tcPr>
            <w:tcW w:w="11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2.00</w:t>
            </w:r>
          </w:p>
        </w:tc>
        <w:tc>
          <w:tcPr>
            <w:tcW w:w="11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1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2.00</w:t>
            </w:r>
          </w:p>
        </w:tc>
        <w:tc>
          <w:tcPr>
            <w:tcW w:w="11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1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2.00</w:t>
            </w:r>
          </w:p>
        </w:tc>
        <w:tc>
          <w:tcPr>
            <w:tcW w:w="11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1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1.16</w:t>
            </w:r>
          </w:p>
        </w:tc>
        <w:tc>
          <w:tcPr>
            <w:tcW w:w="11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1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1.16</w:t>
            </w:r>
          </w:p>
        </w:tc>
        <w:tc>
          <w:tcPr>
            <w:tcW w:w="11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1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1.16</w:t>
            </w:r>
          </w:p>
        </w:tc>
        <w:tc>
          <w:tcPr>
            <w:tcW w:w="1198"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bl>
    <w:p>
      <w:pPr>
        <w:jc w:val="both"/>
        <w:rPr>
          <w:lang w:val="en-US" w:eastAsia="zh-CN"/>
        </w:rPr>
        <w:sectPr>
          <w:pgSz w:w="16838" w:h="11906" w:orient="landscape"/>
          <w:pgMar w:top="1800" w:right="1440" w:bottom="1800" w:left="1440" w:header="720" w:footer="720" w:gutter="0"/>
          <w:pgNumType w:fmt="numberInDash"/>
          <w:cols w:space="720" w:num="1"/>
          <w:docGrid w:type="lines" w:linePitch="312" w:charSpace="0"/>
        </w:sectPr>
      </w:pP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869.77</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与上年度相比，收、支总计各减少60.30万元，下降6.48%，主要原因是经费减少。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869.77</w:t>
      </w:r>
      <w:r>
        <w:rPr>
          <w:rFonts w:hint="eastAsia" w:ascii="仿宋_GB2312" w:hAnsi="仿宋_GB2312" w:eastAsia="仿宋_GB2312" w:cs="仿宋_GB2312"/>
          <w:sz w:val="32"/>
          <w:szCs w:val="32"/>
          <w:lang w:val="en-US" w:eastAsia="zh-CN"/>
        </w:rPr>
        <w:t>万元，其中：财政拨款收入869.77万元，占100.00%。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869.77</w:t>
      </w:r>
      <w:r>
        <w:rPr>
          <w:rFonts w:hint="eastAsia" w:ascii="仿宋_GB2312" w:hAnsi="仿宋_GB2312" w:eastAsia="仿宋_GB2312" w:cs="仿宋_GB2312"/>
          <w:sz w:val="32"/>
          <w:szCs w:val="32"/>
          <w:lang w:val="en-US" w:eastAsia="zh-CN"/>
        </w:rPr>
        <w:t>万元，其中：基本支出555.88万元，占63.91%;项目支出313.89万元，占36.09%。</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869.77</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与上年度相比，财政拨款收、支总计各减少60.30万元，下降6.48%，主要原因是经费减少。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2024年度一般公共预算财政拨款支出869.77万元，占支出合计的100.00%。与上年度相比，一般公共预算财政拨款支出减少60.30万元，下降6.48%，主要原因是经费减少。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869.77万元，主要用于以下方面：文化旅游体育与传媒（类）支出787.60万元，占90.55%;社会保障和就业（类）支出41.68万元，占4.79%;卫生健康（类）支出18.54万元，占2.13%;住房保障（类）支出21.95万元，占2.52%。</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763.07</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869.77</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113.98</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文化旅游体育与传媒支出（类）文化和旅游（款）其他文化和旅游支出（项）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49.22</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文化旅游体育与传媒支出（类）广播电视（款）广播电视事务（项）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690.93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735.55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，完成年初预算的106.46%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广播设备购置增加。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文化旅游体育与传媒支出（类）广播电视（款）其他广播电视支出（项）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2.83</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34.07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39.45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，完成年初预算的115.78%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，完成年初预算的130.78%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13.63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17.10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，完成年初预算的125.45%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保险缴费基数上调。</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17.04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21.95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，完成年初预算的128.84%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提高职工的生活保障。</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555.88</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547.88</w:t>
      </w:r>
      <w:r>
        <w:rPr>
          <w:rFonts w:hint="eastAsia" w:ascii="仿宋_GB2312" w:hAnsi="仿宋_GB2312" w:eastAsia="仿宋_GB2312" w:cs="仿宋_GB2312"/>
          <w:sz w:val="32"/>
          <w:szCs w:val="32"/>
          <w:lang w:val="en-US" w:eastAsia="zh-CN"/>
        </w:rPr>
        <w:t>万元，主要包括：基本工资、津贴补贴、绩效工资、机关事业单位基本养老保险缴费、职工基本医疗保险缴费、其他社会保障缴费、住房公积金；公用经费</w:t>
      </w:r>
      <w:r>
        <w:rPr>
          <w:rFonts w:hint="eastAsia" w:ascii="仿宋_GB2312" w:hAnsi="Times New Roman" w:eastAsia="仿宋_GB2312"/>
          <w:sz w:val="32"/>
          <w:szCs w:val="32"/>
          <w:lang w:val="en-US" w:eastAsia="zh-CN"/>
        </w:rPr>
        <w:t>8.00</w:t>
      </w:r>
      <w:r>
        <w:rPr>
          <w:rFonts w:hint="eastAsia" w:ascii="仿宋_GB2312" w:hAnsi="仿宋_GB2312" w:eastAsia="仿宋_GB2312" w:cs="仿宋_GB2312"/>
          <w:sz w:val="32"/>
          <w:szCs w:val="32"/>
          <w:lang w:val="en-US" w:eastAsia="zh-CN"/>
        </w:rPr>
        <w:t>万元，主要包括：办公费、邮电费、差旅费、维修（护）费、租赁费、其他商品和服务支出。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2.00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1.16</w:t>
      </w:r>
      <w:r>
        <w:rPr>
          <w:rFonts w:hint="eastAsia" w:ascii="仿宋_GB2312" w:hAnsi="仿宋_GB2312" w:eastAsia="仿宋_GB2312" w:cs="仿宋_GB2312"/>
          <w:sz w:val="32"/>
          <w:szCs w:val="32"/>
          <w:lang w:val="en-US" w:eastAsia="zh-CN"/>
        </w:rPr>
        <w:t>万元，完成预算的57.82%。</w:t>
      </w:r>
      <w:r>
        <w:rPr>
          <w:rFonts w:hint="eastAsia" w:ascii="仿宋" w:hAnsi="仿宋" w:eastAsia="仿宋" w:cs="Times New Roman"/>
          <w:sz w:val="32"/>
          <w:szCs w:val="32"/>
          <w:lang w:val="en-US" w:eastAsia="zh-CN"/>
        </w:rPr>
        <w:t>2024年度一般公共预算财政拨款“三公”经费支出决算数与预算数存在差异的主要原因是单位减少使用公务车的频次。</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1.16</w:t>
      </w:r>
      <w:r>
        <w:rPr>
          <w:rFonts w:hint="eastAsia" w:ascii="仿宋_GB2312" w:hAnsi="仿宋_GB2312" w:eastAsia="仿宋_GB2312" w:cs="仿宋_GB2312"/>
          <w:sz w:val="32"/>
          <w:szCs w:val="32"/>
          <w:lang w:val="en-US" w:eastAsia="zh-CN"/>
        </w:rPr>
        <w:t>万元，完成预算的57.82%，占100.00%；公务接待费支出决算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预算为2.00万元，支出决算为1.16万元，完成预算的57.82%。决算数与预算数存在差异的主要原因是单位减少使用公务车的频次。其中：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1.16万元。主要用于支付车辆维修及加油。2024年期末，部门开支财政拨款的公务用车保有量为3辆。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我部门不是行政机关，也不是参照公务员法管理的事业部门，没有机关运行经费支出。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3辆，其中：省级领导干部用车0辆、主要领导干部用车0辆、机要通信用车0辆、应急保障车0辆、执法执勤用车0辆、特种专业技术用车0辆、离退休干部用车0辆、其他用车3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w:t>
      </w:r>
      <w:r>
        <w:rPr>
          <w:rFonts w:hint="eastAsia" w:ascii="仿宋_GB2312" w:hAnsi="仿宋_GB2312" w:eastAsia="仿宋_GB2312" w:cs="仿宋_GB2312"/>
          <w:sz w:val="32"/>
          <w:szCs w:val="32"/>
          <w:highlight w:val="none"/>
          <w:lang w:val="en-US" w:eastAsia="zh-CN"/>
        </w:rPr>
        <w:t>12</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12</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357.66</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我部门对2024年度</w:t>
      </w:r>
      <w:r>
        <w:rPr>
          <w:rFonts w:hint="eastAsia" w:ascii="仿宋_GB2312" w:hAnsi="仿宋_GB2312" w:eastAsia="仿宋_GB2312" w:cs="仿宋_GB2312"/>
          <w:sz w:val="32"/>
          <w:szCs w:val="32"/>
          <w:highlight w:val="none"/>
          <w:lang w:val="en-US" w:eastAsia="zh-CN"/>
        </w:rPr>
        <w:t>12</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98.58</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11</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w:t>
      </w:r>
      <w:r>
        <w:rPr>
          <w:rFonts w:hint="eastAsia" w:ascii="仿宋_GB2312" w:hAnsi="仿宋_GB2312" w:eastAsia="仿宋_GB2312" w:cs="仿宋_GB2312"/>
          <w:sz w:val="32"/>
          <w:szCs w:val="32"/>
          <w:highlight w:val="none"/>
          <w:lang w:val="en-US" w:eastAsia="zh-CN"/>
        </w:rPr>
        <w:t>98.9</w:t>
      </w:r>
      <w:r>
        <w:rPr>
          <w:rFonts w:hint="eastAsia" w:ascii="仿宋" w:hAnsi="仿宋" w:eastAsia="仿宋" w:cs="仿宋"/>
          <w:kern w:val="2"/>
          <w:sz w:val="32"/>
          <w:szCs w:val="32"/>
          <w:lang w:val="en-US" w:eastAsia="zh-CN"/>
        </w:rPr>
        <w:t>分。从自评情况看，各项工作总体完成情况较好，部门履职效能进一步提升。</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我部门对2024年度3项目进行了部门评价，评价得分100分，评价等级为优，评价结果是：更好的传播郸城声音提升郸城形象。</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财政部门未选取我部门2024年度预算项目开展财政重点评价。</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jc w:val="left"/>
        <w:textAlignment w:val="auto"/>
        <w:rPr>
          <w:rFonts w:hint="eastAsia" w:ascii="仿宋" w:hAnsi="仿宋" w:eastAsia="仿宋" w:cs="仿宋"/>
          <w:kern w:val="2"/>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09"/>
        <w:gridCol w:w="939"/>
        <w:gridCol w:w="941"/>
        <w:gridCol w:w="960"/>
        <w:gridCol w:w="2802"/>
        <w:gridCol w:w="5850"/>
        <w:gridCol w:w="805"/>
        <w:gridCol w:w="743"/>
        <w:gridCol w:w="780"/>
        <w:gridCol w:w="159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w:t>
            </w:r>
            <w:r>
              <w:rPr>
                <w:rFonts w:hint="eastAsia" w:ascii="宋体" w:hAnsi="宋体" w:cs="宋体"/>
                <w:i w:val="0"/>
                <w:iCs w:val="0"/>
                <w:color w:val="000000"/>
                <w:kern w:val="0"/>
                <w:sz w:val="18"/>
                <w:szCs w:val="18"/>
                <w:u w:val="none"/>
                <w:lang w:val="en-US" w:eastAsia="zh-CN" w:bidi="ar"/>
              </w:rPr>
              <w:t>9</w:t>
            </w:r>
            <w:r>
              <w:rPr>
                <w:rFonts w:hint="eastAsia" w:ascii="宋体" w:hAnsi="宋体" w:eastAsia="宋体" w:cs="宋体"/>
                <w:i w:val="0"/>
                <w:iCs w:val="0"/>
                <w:color w:val="000000"/>
                <w:kern w:val="0"/>
                <w:sz w:val="18"/>
                <w:szCs w:val="18"/>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5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545"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《郸城时讯》办报经费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5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59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c>
          <w:tcPr>
            <w:tcW w:w="271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1230"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54"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295"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88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18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25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23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74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45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9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r>
              <w:rPr>
                <w:rStyle w:val="21"/>
                <w:sz w:val="18"/>
                <w:szCs w:val="18"/>
                <w:lang w:val="en-US" w:eastAsia="zh-CN" w:bidi="ar"/>
              </w:rPr>
              <w:t xml:space="preserve"> 年度资金总额：</w:t>
            </w:r>
          </w:p>
        </w:tc>
        <w:tc>
          <w:tcPr>
            <w:tcW w:w="30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8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8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25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3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46.67 %</w:t>
            </w:r>
          </w:p>
        </w:tc>
        <w:tc>
          <w:tcPr>
            <w:tcW w:w="74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5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9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30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8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8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25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3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46.67 %</w:t>
            </w:r>
          </w:p>
        </w:tc>
        <w:tc>
          <w:tcPr>
            <w:tcW w:w="74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5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9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30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8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8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5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3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74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5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9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30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8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8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5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3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74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54"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597"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271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25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23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744"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5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9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271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25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3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744"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年底财政清算收回 导致没有及时支付成功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5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9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271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本项目的资金拨付有完整的审批程序和手续，未出现审批程序和手续不合规的情况。</w:t>
            </w:r>
          </w:p>
        </w:tc>
        <w:tc>
          <w:tcPr>
            <w:tcW w:w="25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3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744"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5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9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271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25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3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744"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5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9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271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本项目的资金已全部纳入预算绩效管理系统，完成了绩效目标设置、绩效监控、绩效自评价等预算绩效管理流程。</w:t>
            </w:r>
          </w:p>
        </w:tc>
        <w:tc>
          <w:tcPr>
            <w:tcW w:w="25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3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744"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454"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59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3948"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4" w:hRule="atLeast"/>
        </w:trPr>
        <w:tc>
          <w:tcPr>
            <w:tcW w:w="45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97" w:type="pct"/>
            <w:gridSpan w:val="2"/>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提升郸城形象，扩大郸城影响力。</w:t>
            </w:r>
          </w:p>
        </w:tc>
        <w:tc>
          <w:tcPr>
            <w:tcW w:w="3948" w:type="pct"/>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提升了郸城形象，扩大了郸城影响力。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15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29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597"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88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183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25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23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24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49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59"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9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97"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88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83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52"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33"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4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499"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5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59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投入成本</w:t>
            </w:r>
          </w:p>
        </w:tc>
        <w:tc>
          <w:tcPr>
            <w:tcW w:w="8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≤6万元</w:t>
            </w:r>
          </w:p>
        </w:tc>
        <w:tc>
          <w:tcPr>
            <w:tcW w:w="18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2.8万元</w:t>
            </w:r>
          </w:p>
        </w:tc>
        <w:tc>
          <w:tcPr>
            <w:tcW w:w="2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3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4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99"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5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2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59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期数</w:t>
            </w:r>
          </w:p>
        </w:tc>
        <w:tc>
          <w:tcPr>
            <w:tcW w:w="8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≥10期</w:t>
            </w:r>
          </w:p>
        </w:tc>
        <w:tc>
          <w:tcPr>
            <w:tcW w:w="18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10期</w:t>
            </w:r>
          </w:p>
        </w:tc>
        <w:tc>
          <w:tcPr>
            <w:tcW w:w="2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3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4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99"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59"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59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发稿达标率</w:t>
            </w:r>
          </w:p>
        </w:tc>
        <w:tc>
          <w:tcPr>
            <w:tcW w:w="8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8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3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4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99"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59"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59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完成项目时间</w:t>
            </w:r>
          </w:p>
        </w:tc>
        <w:tc>
          <w:tcPr>
            <w:tcW w:w="8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2024年12月31日前</w:t>
            </w:r>
          </w:p>
        </w:tc>
        <w:tc>
          <w:tcPr>
            <w:tcW w:w="18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2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3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4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-40.00</w:t>
            </w:r>
          </w:p>
        </w:tc>
        <w:tc>
          <w:tcPr>
            <w:tcW w:w="49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财政清算到年底未及时支付成功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5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2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59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提升群众对郸城的文化了解</w:t>
            </w:r>
          </w:p>
        </w:tc>
        <w:tc>
          <w:tcPr>
            <w:tcW w:w="8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w:t>
            </w:r>
          </w:p>
        </w:tc>
        <w:tc>
          <w:tcPr>
            <w:tcW w:w="18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23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24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99"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5" w:hRule="atLeast"/>
        </w:trPr>
        <w:tc>
          <w:tcPr>
            <w:tcW w:w="15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2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59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8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18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2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3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4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99"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769"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2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3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85.67</w:t>
            </w:r>
          </w:p>
        </w:tc>
        <w:tc>
          <w:tcPr>
            <w:tcW w:w="24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499"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bl>
    <w:p>
      <w:pPr>
        <w:keepNext w:val="0"/>
        <w:keepLines w:val="0"/>
        <w:pageBreakBefore w:val="0"/>
        <w:widowControl/>
        <w:kinsoku/>
        <w:wordWrap w:val="0"/>
        <w:overflowPunct/>
        <w:topLinePunct w:val="0"/>
        <w:autoSpaceDE/>
        <w:autoSpaceDN/>
        <w:bidi w:val="0"/>
        <w:spacing w:line="590" w:lineRule="exact"/>
        <w:jc w:val="both"/>
        <w:rPr>
          <w:rFonts w:hint="eastAsia" w:ascii="仿宋_GB2312" w:hAnsi="Times New Roman" w:eastAsia="仿宋_GB2312" w:cs="Times New Roman"/>
          <w:sz w:val="32"/>
          <w:szCs w:val="32"/>
          <w:lang w:val="en-US" w:eastAsia="zh-CN"/>
        </w:rPr>
      </w:pPr>
    </w:p>
    <w:p>
      <w:pPr>
        <w:keepNext w:val="0"/>
        <w:keepLines w:val="0"/>
        <w:pageBreakBefore w:val="0"/>
        <w:widowControl/>
        <w:kinsoku/>
        <w:wordWrap w:val="0"/>
        <w:overflowPunct/>
        <w:topLinePunct w:val="0"/>
        <w:autoSpaceDE/>
        <w:autoSpaceDN/>
        <w:bidi w:val="0"/>
        <w:spacing w:line="590" w:lineRule="exact"/>
        <w:jc w:val="both"/>
        <w:rPr>
          <w:rFonts w:hint="eastAsia" w:ascii="仿宋_GB2312" w:hAnsi="Times New Roman" w:eastAsia="仿宋_GB2312" w:cs="Times New Roman"/>
          <w:sz w:val="32"/>
          <w:szCs w:val="32"/>
          <w:lang w:val="en-US" w:eastAsia="zh-CN"/>
        </w:rPr>
      </w:pPr>
    </w:p>
    <w:p>
      <w:pPr>
        <w:keepNext w:val="0"/>
        <w:keepLines w:val="0"/>
        <w:pageBreakBefore w:val="0"/>
        <w:widowControl/>
        <w:kinsoku/>
        <w:wordWrap w:val="0"/>
        <w:overflowPunct/>
        <w:topLinePunct w:val="0"/>
        <w:autoSpaceDE/>
        <w:autoSpaceDN/>
        <w:bidi w:val="0"/>
        <w:spacing w:line="590" w:lineRule="exact"/>
        <w:jc w:val="both"/>
        <w:rPr>
          <w:rFonts w:hint="eastAsia" w:ascii="仿宋_GB2312" w:hAnsi="Times New Roman" w:eastAsia="仿宋_GB2312" w:cs="Times New Roman"/>
          <w:sz w:val="32"/>
          <w:szCs w:val="32"/>
          <w:lang w:val="en-US" w:eastAsia="zh-CN"/>
        </w:r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21"/>
        <w:gridCol w:w="145"/>
        <w:gridCol w:w="809"/>
        <w:gridCol w:w="876"/>
        <w:gridCol w:w="844"/>
        <w:gridCol w:w="3522"/>
        <w:gridCol w:w="6457"/>
        <w:gridCol w:w="844"/>
        <w:gridCol w:w="656"/>
        <w:gridCol w:w="430"/>
        <w:gridCol w:w="10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w:t>
            </w:r>
            <w:r>
              <w:rPr>
                <w:rFonts w:hint="eastAsia" w:ascii="宋体" w:hAnsi="宋体" w:cs="宋体"/>
                <w:i w:val="0"/>
                <w:iCs w:val="0"/>
                <w:color w:val="000000"/>
                <w:kern w:val="0"/>
                <w:sz w:val="18"/>
                <w:szCs w:val="18"/>
                <w:u w:val="none"/>
                <w:lang w:val="en-US" w:eastAsia="zh-CN" w:bidi="ar"/>
              </w:rPr>
              <w:t>9</w:t>
            </w:r>
            <w:r>
              <w:rPr>
                <w:rFonts w:hint="eastAsia" w:ascii="宋体" w:hAnsi="宋体" w:eastAsia="宋体" w:cs="宋体"/>
                <w:i w:val="0"/>
                <w:iCs w:val="0"/>
                <w:color w:val="000000"/>
                <w:kern w:val="0"/>
                <w:sz w:val="18"/>
                <w:szCs w:val="18"/>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01"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598"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2023年《新闻直通车》栏目费用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01"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54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c>
          <w:tcPr>
            <w:tcW w:w="313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924"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01"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275"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11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202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2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45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401"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7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年度资金总额：</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1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202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45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01"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7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1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202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45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01"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7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1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02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5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01"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7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1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02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5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01"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540"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313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2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453"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01"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40"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313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53"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01"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40"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313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本项目的资金拨付有完整的审批程序和手续，未出现审批程序和手续不合规的情况。</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53"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01"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40"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313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53"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01"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40"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313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本项目的资金已全部纳入预算绩效管理系统，完成了绩效目标设置、绩效监控、绩效自评价等预算绩效管理流程。</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53"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10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840"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4057"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10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840" w:type="pct"/>
            <w:gridSpan w:val="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根据全市统一部署，完成周口广播电视台与郸城县联办《新闻直通车》栏目，对我县进行全方位的新闻报道。</w:t>
            </w:r>
          </w:p>
        </w:tc>
        <w:tc>
          <w:tcPr>
            <w:tcW w:w="4057" w:type="pct"/>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根据全市统一部署，完成了周口广播电视台与郸城县联办《新闻直通车》栏目，对郸城县进行了全方位的新闻报道。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147"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25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540"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110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202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26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20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3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31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147"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5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40"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1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02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6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3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1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4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5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投入成本</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≤25万元</w:t>
            </w:r>
          </w:p>
        </w:tc>
        <w:tc>
          <w:tcPr>
            <w:tcW w:w="20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25万元</w:t>
            </w:r>
          </w:p>
        </w:tc>
        <w:tc>
          <w:tcPr>
            <w:tcW w:w="2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8"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47"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5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新闻直通车栏目次数</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≥50次</w:t>
            </w:r>
          </w:p>
        </w:tc>
        <w:tc>
          <w:tcPr>
            <w:tcW w:w="20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50次</w:t>
            </w:r>
          </w:p>
        </w:tc>
        <w:tc>
          <w:tcPr>
            <w:tcW w:w="2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8"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47"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5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栏目播出达标率</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8"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47"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5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项目完成时间</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2024年12月31日前</w:t>
            </w:r>
          </w:p>
        </w:tc>
        <w:tc>
          <w:tcPr>
            <w:tcW w:w="20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8"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47"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25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5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提升郸城形象</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w:t>
            </w:r>
          </w:p>
        </w:tc>
        <w:tc>
          <w:tcPr>
            <w:tcW w:w="20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8"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47"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5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及时报到郸城新闻</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及时</w:t>
            </w:r>
          </w:p>
        </w:tc>
        <w:tc>
          <w:tcPr>
            <w:tcW w:w="20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8"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4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5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20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2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8"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4075"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2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18"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bl>
    <w:p>
      <w:pPr>
        <w:keepNext w:val="0"/>
        <w:keepLines w:val="0"/>
        <w:pageBreakBefore w:val="0"/>
        <w:widowControl/>
        <w:kinsoku/>
        <w:wordWrap w:val="0"/>
        <w:overflowPunct/>
        <w:topLinePunct w:val="0"/>
        <w:autoSpaceDE/>
        <w:autoSpaceDN/>
        <w:bidi w:val="0"/>
        <w:spacing w:line="590" w:lineRule="exact"/>
        <w:jc w:val="both"/>
        <w:rPr>
          <w:rFonts w:hint="eastAsia" w:ascii="仿宋_GB2312" w:hAnsi="Times New Roman" w:eastAsia="仿宋_GB2312" w:cs="Times New Roman"/>
          <w:sz w:val="32"/>
          <w:szCs w:val="32"/>
          <w:lang w:val="en-US" w:eastAsia="zh-CN"/>
        </w:rPr>
      </w:pPr>
    </w:p>
    <w:tbl>
      <w:tblPr>
        <w:tblStyle w:val="2"/>
        <w:tblW w:w="505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73"/>
        <w:gridCol w:w="1015"/>
        <w:gridCol w:w="1020"/>
        <w:gridCol w:w="945"/>
        <w:gridCol w:w="3073"/>
        <w:gridCol w:w="6448"/>
        <w:gridCol w:w="841"/>
        <w:gridCol w:w="723"/>
        <w:gridCol w:w="551"/>
        <w:gridCol w:w="831"/>
        <w:gridCol w:w="1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 w:type="pct"/>
          <w:trHeight w:val="540" w:hRule="atLeast"/>
        </w:trPr>
        <w:tc>
          <w:tcPr>
            <w:tcW w:w="4941" w:type="pct"/>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 w:type="pct"/>
          <w:trHeight w:val="399" w:hRule="atLeast"/>
        </w:trPr>
        <w:tc>
          <w:tcPr>
            <w:tcW w:w="4941" w:type="pct"/>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w:t>
            </w:r>
            <w:r>
              <w:rPr>
                <w:rFonts w:hint="eastAsia" w:ascii="宋体" w:hAnsi="宋体" w:cs="宋体"/>
                <w:i w:val="0"/>
                <w:iCs w:val="0"/>
                <w:color w:val="000000"/>
                <w:kern w:val="0"/>
                <w:sz w:val="18"/>
                <w:szCs w:val="18"/>
                <w:u w:val="none"/>
                <w:lang w:val="en-US" w:eastAsia="zh-CN" w:bidi="ar"/>
              </w:rPr>
              <w:t>9</w:t>
            </w:r>
            <w:r>
              <w:rPr>
                <w:rFonts w:hint="eastAsia" w:ascii="宋体" w:hAnsi="宋体" w:eastAsia="宋体" w:cs="宋体"/>
                <w:i w:val="0"/>
                <w:iCs w:val="0"/>
                <w:color w:val="000000"/>
                <w:kern w:val="0"/>
                <w:sz w:val="18"/>
                <w:szCs w:val="18"/>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 w:type="pct"/>
          <w:trHeight w:val="285" w:hRule="atLeast"/>
        </w:trPr>
        <w:tc>
          <w:tcPr>
            <w:tcW w:w="46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479"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2024年《郸城时讯》业务经费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 w:type="pct"/>
          <w:trHeight w:val="285" w:hRule="atLeast"/>
        </w:trPr>
        <w:tc>
          <w:tcPr>
            <w:tcW w:w="46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60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c>
          <w:tcPr>
            <w:tcW w:w="295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914"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 w:type="pct"/>
          <w:trHeight w:val="285" w:hRule="atLeast"/>
        </w:trPr>
        <w:tc>
          <w:tcPr>
            <w:tcW w:w="46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316"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29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9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200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26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22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42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 w:type="pct"/>
          <w:trHeight w:val="315" w:hRule="atLeast"/>
        </w:trPr>
        <w:tc>
          <w:tcPr>
            <w:tcW w:w="4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年度资金总额：</w:t>
            </w:r>
          </w:p>
        </w:tc>
        <w:tc>
          <w:tcPr>
            <w:tcW w:w="29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w:t>
            </w:r>
          </w:p>
        </w:tc>
        <w:tc>
          <w:tcPr>
            <w:tcW w:w="9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14.4</w:t>
            </w:r>
          </w:p>
        </w:tc>
        <w:tc>
          <w:tcPr>
            <w:tcW w:w="200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13.8</w:t>
            </w:r>
          </w:p>
        </w:tc>
        <w:tc>
          <w:tcPr>
            <w:tcW w:w="26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2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95.83 %</w:t>
            </w:r>
          </w:p>
        </w:tc>
        <w:tc>
          <w:tcPr>
            <w:tcW w:w="42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 w:type="pct"/>
          <w:trHeight w:val="285" w:hRule="atLeast"/>
        </w:trPr>
        <w:tc>
          <w:tcPr>
            <w:tcW w:w="4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29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w:t>
            </w:r>
          </w:p>
        </w:tc>
        <w:tc>
          <w:tcPr>
            <w:tcW w:w="9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14.4</w:t>
            </w:r>
          </w:p>
        </w:tc>
        <w:tc>
          <w:tcPr>
            <w:tcW w:w="200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13.8</w:t>
            </w:r>
          </w:p>
        </w:tc>
        <w:tc>
          <w:tcPr>
            <w:tcW w:w="26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2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95.83 %</w:t>
            </w:r>
          </w:p>
        </w:tc>
        <w:tc>
          <w:tcPr>
            <w:tcW w:w="42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 w:type="pct"/>
          <w:trHeight w:val="285" w:hRule="atLeast"/>
        </w:trPr>
        <w:tc>
          <w:tcPr>
            <w:tcW w:w="4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29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00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6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2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2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 w:type="pct"/>
          <w:trHeight w:val="285" w:hRule="atLeast"/>
        </w:trPr>
        <w:tc>
          <w:tcPr>
            <w:tcW w:w="4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29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00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6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2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2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 w:type="pct"/>
          <w:trHeight w:val="285" w:hRule="atLeast"/>
        </w:trPr>
        <w:tc>
          <w:tcPr>
            <w:tcW w:w="46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609"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295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26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22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428"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 w:type="pct"/>
          <w:trHeight w:val="285" w:hRule="atLeast"/>
        </w:trPr>
        <w:tc>
          <w:tcPr>
            <w:tcW w:w="4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09"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295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26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2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28"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 w:type="pct"/>
          <w:trHeight w:val="285" w:hRule="atLeast"/>
        </w:trPr>
        <w:tc>
          <w:tcPr>
            <w:tcW w:w="4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09"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295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本项目的资金拨付有完整的审批程序和手续，未出现审批程序和手续不合规的情况。</w:t>
            </w:r>
          </w:p>
        </w:tc>
        <w:tc>
          <w:tcPr>
            <w:tcW w:w="26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2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28"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 w:type="pct"/>
          <w:trHeight w:val="285" w:hRule="atLeast"/>
        </w:trPr>
        <w:tc>
          <w:tcPr>
            <w:tcW w:w="4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09"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295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26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2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28"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 w:type="pct"/>
          <w:trHeight w:val="285" w:hRule="atLeast"/>
        </w:trPr>
        <w:tc>
          <w:tcPr>
            <w:tcW w:w="4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09"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295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本项目的资金已全部纳入预算绩效管理系统，完成了绩效目标设置、绩效监控、绩效自评价等预算绩效管理流程。</w:t>
            </w:r>
          </w:p>
        </w:tc>
        <w:tc>
          <w:tcPr>
            <w:tcW w:w="26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2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28"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 w:type="pct"/>
          <w:trHeight w:val="435" w:hRule="atLeast"/>
        </w:trPr>
        <w:tc>
          <w:tcPr>
            <w:tcW w:w="46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60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3869"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 w:type="pct"/>
          <w:trHeight w:val="899" w:hRule="atLeast"/>
        </w:trPr>
        <w:tc>
          <w:tcPr>
            <w:tcW w:w="4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09" w:type="pct"/>
            <w:gridSpan w:val="2"/>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提升郸城形象，扩大郸城影响力。</w:t>
            </w:r>
          </w:p>
        </w:tc>
        <w:tc>
          <w:tcPr>
            <w:tcW w:w="3869" w:type="pct"/>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提升了郸城形象，扩大了郸城影响力。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 w:type="pct"/>
          <w:trHeight w:val="300" w:hRule="atLeast"/>
        </w:trPr>
        <w:tc>
          <w:tcPr>
            <w:tcW w:w="4941" w:type="pct"/>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 w:type="pct"/>
          <w:trHeight w:val="312" w:hRule="atLeast"/>
        </w:trPr>
        <w:tc>
          <w:tcPr>
            <w:tcW w:w="4941" w:type="pct"/>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14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31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609"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95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200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26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22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7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316"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14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1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09"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953"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00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6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2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7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1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31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60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总成本</w:t>
            </w:r>
          </w:p>
        </w:tc>
        <w:tc>
          <w:tcPr>
            <w:tcW w:w="9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≤21.6万元</w:t>
            </w:r>
          </w:p>
        </w:tc>
        <w:tc>
          <w:tcPr>
            <w:tcW w:w="20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13.8万元</w:t>
            </w:r>
          </w:p>
        </w:tc>
        <w:tc>
          <w:tcPr>
            <w:tcW w:w="2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4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31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60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期数</w:t>
            </w:r>
          </w:p>
        </w:tc>
        <w:tc>
          <w:tcPr>
            <w:tcW w:w="9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=24期</w:t>
            </w:r>
          </w:p>
        </w:tc>
        <w:tc>
          <w:tcPr>
            <w:tcW w:w="20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24期</w:t>
            </w:r>
          </w:p>
        </w:tc>
        <w:tc>
          <w:tcPr>
            <w:tcW w:w="2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4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1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60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发稿达标率</w:t>
            </w:r>
          </w:p>
        </w:tc>
        <w:tc>
          <w:tcPr>
            <w:tcW w:w="9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4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1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60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完成项目时间</w:t>
            </w:r>
          </w:p>
        </w:tc>
        <w:tc>
          <w:tcPr>
            <w:tcW w:w="9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2024年12月31日前</w:t>
            </w:r>
          </w:p>
        </w:tc>
        <w:tc>
          <w:tcPr>
            <w:tcW w:w="20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31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60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提升群众对郸城的文化了解</w:t>
            </w:r>
          </w:p>
        </w:tc>
        <w:tc>
          <w:tcPr>
            <w:tcW w:w="9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w:t>
            </w:r>
          </w:p>
        </w:tc>
        <w:tc>
          <w:tcPr>
            <w:tcW w:w="20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2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31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60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9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20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2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4027"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2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99.58</w:t>
            </w:r>
          </w:p>
        </w:tc>
        <w:tc>
          <w:tcPr>
            <w:tcW w:w="171"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16"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bl>
    <w:p>
      <w:pPr>
        <w:keepNext w:val="0"/>
        <w:keepLines w:val="0"/>
        <w:pageBreakBefore w:val="0"/>
        <w:widowControl/>
        <w:kinsoku/>
        <w:wordWrap w:val="0"/>
        <w:overflowPunct/>
        <w:topLinePunct w:val="0"/>
        <w:autoSpaceDE/>
        <w:autoSpaceDN/>
        <w:bidi w:val="0"/>
        <w:spacing w:line="590" w:lineRule="exact"/>
        <w:jc w:val="both"/>
        <w:rPr>
          <w:rFonts w:hint="eastAsia" w:ascii="仿宋_GB2312" w:hAnsi="Times New Roman" w:eastAsia="仿宋_GB2312" w:cs="Times New Roman"/>
          <w:sz w:val="32"/>
          <w:szCs w:val="32"/>
          <w:lang w:val="en-US" w:eastAsia="zh-CN"/>
        </w:rPr>
      </w:pPr>
    </w:p>
    <w:p>
      <w:pPr>
        <w:keepNext w:val="0"/>
        <w:keepLines w:val="0"/>
        <w:pageBreakBefore w:val="0"/>
        <w:widowControl/>
        <w:kinsoku/>
        <w:wordWrap w:val="0"/>
        <w:overflowPunct/>
        <w:topLinePunct w:val="0"/>
        <w:autoSpaceDE/>
        <w:autoSpaceDN/>
        <w:bidi w:val="0"/>
        <w:spacing w:line="590" w:lineRule="exact"/>
        <w:jc w:val="both"/>
        <w:rPr>
          <w:rFonts w:hint="eastAsia" w:ascii="仿宋_GB2312" w:hAnsi="Times New Roman" w:eastAsia="仿宋_GB2312" w:cs="Times New Roman"/>
          <w:sz w:val="32"/>
          <w:szCs w:val="32"/>
          <w:lang w:val="en-US" w:eastAsia="zh-CN"/>
        </w:rPr>
      </w:pPr>
    </w:p>
    <w:tbl>
      <w:tblPr>
        <w:tblStyle w:val="2"/>
        <w:tblW w:w="505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24"/>
        <w:gridCol w:w="519"/>
        <w:gridCol w:w="855"/>
        <w:gridCol w:w="735"/>
        <w:gridCol w:w="750"/>
        <w:gridCol w:w="2760"/>
        <w:gridCol w:w="762"/>
        <w:gridCol w:w="3303"/>
        <w:gridCol w:w="2966"/>
        <w:gridCol w:w="179"/>
        <w:gridCol w:w="662"/>
        <w:gridCol w:w="179"/>
        <w:gridCol w:w="474"/>
        <w:gridCol w:w="179"/>
        <w:gridCol w:w="254"/>
        <w:gridCol w:w="1019"/>
        <w:gridCol w:w="17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540" w:hRule="atLeast"/>
        </w:trPr>
        <w:tc>
          <w:tcPr>
            <w:tcW w:w="4944" w:type="pct"/>
            <w:gridSpan w:val="1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399" w:hRule="atLeast"/>
        </w:trPr>
        <w:tc>
          <w:tcPr>
            <w:tcW w:w="4944" w:type="pct"/>
            <w:gridSpan w:val="16"/>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w:t>
            </w:r>
            <w:r>
              <w:rPr>
                <w:rFonts w:hint="eastAsia" w:ascii="宋体" w:hAnsi="宋体" w:cs="宋体"/>
                <w:i w:val="0"/>
                <w:iCs w:val="0"/>
                <w:color w:val="000000"/>
                <w:kern w:val="0"/>
                <w:sz w:val="18"/>
                <w:szCs w:val="18"/>
                <w:u w:val="none"/>
                <w:lang w:val="en-US" w:eastAsia="zh-CN" w:bidi="ar"/>
              </w:rPr>
              <w:t>9</w:t>
            </w:r>
            <w:r>
              <w:rPr>
                <w:rFonts w:hint="eastAsia" w:ascii="宋体" w:hAnsi="宋体" w:eastAsia="宋体" w:cs="宋体"/>
                <w:i w:val="0"/>
                <w:iCs w:val="0"/>
                <w:color w:val="000000"/>
                <w:kern w:val="0"/>
                <w:sz w:val="18"/>
                <w:szCs w:val="18"/>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285" w:hRule="atLeast"/>
        </w:trPr>
        <w:tc>
          <w:tcPr>
            <w:tcW w:w="527"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417" w:type="pct"/>
            <w:gridSpan w:val="1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2024年春节联欢晚会费用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285" w:hRule="atLeast"/>
        </w:trPr>
        <w:tc>
          <w:tcPr>
            <w:tcW w:w="527"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1318"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c>
          <w:tcPr>
            <w:tcW w:w="2183"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914" w:type="pct"/>
            <w:gridSpan w:val="7"/>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27"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228"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23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109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2002"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26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20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450"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27"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年度资金额：</w:t>
            </w:r>
          </w:p>
        </w:tc>
        <w:tc>
          <w:tcPr>
            <w:tcW w:w="23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9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77.99</w:t>
            </w:r>
          </w:p>
        </w:tc>
        <w:tc>
          <w:tcPr>
            <w:tcW w:w="2002"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77.99</w:t>
            </w:r>
          </w:p>
        </w:tc>
        <w:tc>
          <w:tcPr>
            <w:tcW w:w="26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0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450"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27"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23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9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77.99</w:t>
            </w:r>
          </w:p>
        </w:tc>
        <w:tc>
          <w:tcPr>
            <w:tcW w:w="2002"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77.99</w:t>
            </w:r>
          </w:p>
        </w:tc>
        <w:tc>
          <w:tcPr>
            <w:tcW w:w="26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450"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27"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23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9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002"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6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50"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27"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23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9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002"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6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50"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285" w:hRule="atLeast"/>
        </w:trPr>
        <w:tc>
          <w:tcPr>
            <w:tcW w:w="527"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1318" w:type="pct"/>
            <w:gridSpan w:val="3"/>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2183"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26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20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450" w:type="pct"/>
            <w:gridSpan w:val="3"/>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285" w:hRule="atLeast"/>
        </w:trPr>
        <w:tc>
          <w:tcPr>
            <w:tcW w:w="527"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318" w:type="pct"/>
            <w:gridSpan w:val="3"/>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2183"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26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50" w:type="pct"/>
            <w:gridSpan w:val="3"/>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285" w:hRule="atLeast"/>
        </w:trPr>
        <w:tc>
          <w:tcPr>
            <w:tcW w:w="527"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318" w:type="pct"/>
            <w:gridSpan w:val="3"/>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2183"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本项目的资金拨付有完整的审批程序和手续，未出现审批程序和手续不合规的情况。</w:t>
            </w:r>
          </w:p>
        </w:tc>
        <w:tc>
          <w:tcPr>
            <w:tcW w:w="26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50" w:type="pct"/>
            <w:gridSpan w:val="3"/>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285" w:hRule="atLeast"/>
        </w:trPr>
        <w:tc>
          <w:tcPr>
            <w:tcW w:w="527"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318" w:type="pct"/>
            <w:gridSpan w:val="3"/>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2183"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26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50" w:type="pct"/>
            <w:gridSpan w:val="3"/>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285" w:hRule="atLeast"/>
        </w:trPr>
        <w:tc>
          <w:tcPr>
            <w:tcW w:w="527"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318" w:type="pct"/>
            <w:gridSpan w:val="3"/>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2183"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本项目的资金已全部纳入预算绩效管理系统，完成了绩效目标设置、绩效监控、绩效自评价等预算绩效管理流程。</w:t>
            </w:r>
          </w:p>
        </w:tc>
        <w:tc>
          <w:tcPr>
            <w:tcW w:w="26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50" w:type="pct"/>
            <w:gridSpan w:val="3"/>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435" w:hRule="atLeast"/>
        </w:trPr>
        <w:tc>
          <w:tcPr>
            <w:tcW w:w="10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1745" w:type="pct"/>
            <w:gridSpan w:val="5"/>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3098" w:type="pct"/>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1494" w:hRule="atLeast"/>
        </w:trPr>
        <w:tc>
          <w:tcPr>
            <w:tcW w:w="10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745" w:type="pct"/>
            <w:gridSpan w:val="5"/>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举办春节联欢晚会文化活动，丰富群众文化生活，提升群众继承传统文化的积极性。</w:t>
            </w:r>
          </w:p>
        </w:tc>
        <w:tc>
          <w:tcPr>
            <w:tcW w:w="3098" w:type="pct"/>
            <w:gridSpan w:val="10"/>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举办了春节联欢晚会文化活动，丰富了群众文化生活，提升了群众继承传统文化的积极性。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300" w:hRule="atLeast"/>
        </w:trPr>
        <w:tc>
          <w:tcPr>
            <w:tcW w:w="4944" w:type="pct"/>
            <w:gridSpan w:val="16"/>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300" w:hRule="atLeast"/>
        </w:trPr>
        <w:tc>
          <w:tcPr>
            <w:tcW w:w="4944" w:type="pct"/>
            <w:gridSpan w:val="16"/>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279" w:hRule="atLeast"/>
        </w:trPr>
        <w:tc>
          <w:tcPr>
            <w:tcW w:w="26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26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1318"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1262"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92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26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202"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34"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31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279" w:hRule="atLeast"/>
        </w:trPr>
        <w:tc>
          <w:tcPr>
            <w:tcW w:w="2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6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318"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262"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92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02"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3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1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760" w:hRule="atLeast"/>
        </w:trPr>
        <w:tc>
          <w:tcPr>
            <w:tcW w:w="26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1318"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文艺活动成本</w:t>
            </w:r>
          </w:p>
        </w:tc>
        <w:tc>
          <w:tcPr>
            <w:tcW w:w="126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≤77.99万元</w:t>
            </w:r>
          </w:p>
        </w:tc>
        <w:tc>
          <w:tcPr>
            <w:tcW w:w="92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77.99万元</w:t>
            </w:r>
          </w:p>
        </w:tc>
        <w:tc>
          <w:tcPr>
            <w:tcW w:w="26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0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3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760" w:hRule="atLeast"/>
        </w:trPr>
        <w:tc>
          <w:tcPr>
            <w:tcW w:w="26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2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318"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举办活动次数</w:t>
            </w:r>
          </w:p>
        </w:tc>
        <w:tc>
          <w:tcPr>
            <w:tcW w:w="126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92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26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0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3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760" w:hRule="atLeast"/>
        </w:trPr>
        <w:tc>
          <w:tcPr>
            <w:tcW w:w="2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318"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开展活动质量达标率</w:t>
            </w:r>
          </w:p>
        </w:tc>
        <w:tc>
          <w:tcPr>
            <w:tcW w:w="126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92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0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3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495" w:hRule="atLeast"/>
        </w:trPr>
        <w:tc>
          <w:tcPr>
            <w:tcW w:w="2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318"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项目完成时间</w:t>
            </w:r>
          </w:p>
        </w:tc>
        <w:tc>
          <w:tcPr>
            <w:tcW w:w="126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2024年12月31日前</w:t>
            </w:r>
          </w:p>
        </w:tc>
        <w:tc>
          <w:tcPr>
            <w:tcW w:w="92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0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3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510" w:hRule="atLeast"/>
        </w:trPr>
        <w:tc>
          <w:tcPr>
            <w:tcW w:w="26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26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1318"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丰富群众文化生活</w:t>
            </w:r>
          </w:p>
        </w:tc>
        <w:tc>
          <w:tcPr>
            <w:tcW w:w="126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丰富</w:t>
            </w:r>
          </w:p>
        </w:tc>
        <w:tc>
          <w:tcPr>
            <w:tcW w:w="92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20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3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585" w:hRule="atLeast"/>
        </w:trPr>
        <w:tc>
          <w:tcPr>
            <w:tcW w:w="2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6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318"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继承传统文化，提升传统文化的影响</w:t>
            </w:r>
          </w:p>
        </w:tc>
        <w:tc>
          <w:tcPr>
            <w:tcW w:w="126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w:t>
            </w:r>
          </w:p>
        </w:tc>
        <w:tc>
          <w:tcPr>
            <w:tcW w:w="92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20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3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851" w:hRule="atLeast"/>
        </w:trPr>
        <w:tc>
          <w:tcPr>
            <w:tcW w:w="26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2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318"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126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92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26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3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5" w:type="pct"/>
          <w:trHeight w:val="760" w:hRule="atLeast"/>
        </w:trPr>
        <w:tc>
          <w:tcPr>
            <w:tcW w:w="4029" w:type="pct"/>
            <w:gridSpan w:val="9"/>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26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4"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bl>
    <w:tbl>
      <w:tblPr>
        <w:tblStyle w:val="2"/>
        <w:tblpPr w:leftFromText="180" w:rightFromText="180" w:vertAnchor="text" w:horzAnchor="page" w:tblpX="562" w:tblpY="574"/>
        <w:tblOverlap w:val="neve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41"/>
        <w:gridCol w:w="374"/>
        <w:gridCol w:w="750"/>
        <w:gridCol w:w="661"/>
        <w:gridCol w:w="847"/>
        <w:gridCol w:w="3365"/>
        <w:gridCol w:w="6626"/>
        <w:gridCol w:w="844"/>
        <w:gridCol w:w="656"/>
        <w:gridCol w:w="465"/>
        <w:gridCol w:w="99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w:t>
            </w:r>
            <w:r>
              <w:rPr>
                <w:rFonts w:hint="eastAsia" w:ascii="宋体" w:hAnsi="宋体" w:cs="宋体"/>
                <w:i w:val="0"/>
                <w:iCs w:val="0"/>
                <w:color w:val="000000"/>
                <w:kern w:val="0"/>
                <w:sz w:val="18"/>
                <w:szCs w:val="18"/>
                <w:u w:val="none"/>
                <w:lang w:val="en-US" w:eastAsia="zh-CN" w:bidi="ar"/>
              </w:rPr>
              <w:t>9</w:t>
            </w:r>
            <w:r>
              <w:rPr>
                <w:rFonts w:hint="eastAsia" w:ascii="宋体" w:hAnsi="宋体" w:eastAsia="宋体" w:cs="宋体"/>
                <w:i w:val="0"/>
                <w:iCs w:val="0"/>
                <w:color w:val="000000"/>
                <w:kern w:val="0"/>
                <w:sz w:val="18"/>
                <w:szCs w:val="18"/>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5" w:hRule="atLeast"/>
        </w:trPr>
        <w:tc>
          <w:tcPr>
            <w:tcW w:w="460"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539"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2024年度河南广播电视台合作宣传费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5" w:hRule="atLeast"/>
        </w:trPr>
        <w:tc>
          <w:tcPr>
            <w:tcW w:w="460"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47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c>
          <w:tcPr>
            <w:tcW w:w="313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928"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9" w:hRule="atLeast"/>
        </w:trPr>
        <w:tc>
          <w:tcPr>
            <w:tcW w:w="460"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207"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26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105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20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2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45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9" w:hRule="atLeast"/>
        </w:trPr>
        <w:tc>
          <w:tcPr>
            <w:tcW w:w="46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0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年度资金总额：</w:t>
            </w:r>
          </w:p>
        </w:tc>
        <w:tc>
          <w:tcPr>
            <w:tcW w:w="26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5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20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45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46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0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26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5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20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45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9" w:hRule="atLeast"/>
        </w:trPr>
        <w:tc>
          <w:tcPr>
            <w:tcW w:w="46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0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26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5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0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5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46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0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26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5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0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5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460"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473"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313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2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45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46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473"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313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57"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6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473"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313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本项目的资金拨付有完整的审批程序和手续，未出现审批程序和手续不合规的情况。</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57"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46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473"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313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57"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46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473"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313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本项目的资金已全部纳入预算绩效管理系统，完成了绩效目标设置、绩效监控、绩效自评价等预算绩效管理流程。</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57"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0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826"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4066"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1" w:hRule="atLeast"/>
        </w:trPr>
        <w:tc>
          <w:tcPr>
            <w:tcW w:w="10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826" w:type="pct"/>
            <w:gridSpan w:val="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目标1：讲好郸城故事，传播好郸城声音，提升郸城形象。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目标2：加快省县融媒体中心向纵深发展。</w:t>
            </w:r>
          </w:p>
        </w:tc>
        <w:tc>
          <w:tcPr>
            <w:tcW w:w="4066" w:type="pct"/>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讲好了郸城故事，传播了好郸城声音，提升了郸城形象。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加快了省县融媒体中心向纵深发展。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2"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2" w:hRule="atLeast"/>
        </w:trPr>
        <w:tc>
          <w:tcPr>
            <w:tcW w:w="224"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23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473"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105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208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26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20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4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31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4" w:hRule="atLeast"/>
        </w:trPr>
        <w:tc>
          <w:tcPr>
            <w:tcW w:w="22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3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47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05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08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6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4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1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08" w:hRule="atLeast"/>
        </w:trPr>
        <w:tc>
          <w:tcPr>
            <w:tcW w:w="22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47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投入成本</w:t>
            </w:r>
          </w:p>
        </w:tc>
        <w:tc>
          <w:tcPr>
            <w:tcW w:w="105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≤30万元</w:t>
            </w:r>
          </w:p>
        </w:tc>
        <w:tc>
          <w:tcPr>
            <w:tcW w:w="20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30万元</w:t>
            </w:r>
          </w:p>
        </w:tc>
        <w:tc>
          <w:tcPr>
            <w:tcW w:w="2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1"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5" w:hRule="atLeast"/>
        </w:trPr>
        <w:tc>
          <w:tcPr>
            <w:tcW w:w="224"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2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47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省平台报道次数</w:t>
            </w:r>
          </w:p>
        </w:tc>
        <w:tc>
          <w:tcPr>
            <w:tcW w:w="105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≥5次</w:t>
            </w:r>
          </w:p>
        </w:tc>
        <w:tc>
          <w:tcPr>
            <w:tcW w:w="20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5次</w:t>
            </w:r>
          </w:p>
        </w:tc>
        <w:tc>
          <w:tcPr>
            <w:tcW w:w="2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1"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5" w:hRule="atLeast"/>
        </w:trPr>
        <w:tc>
          <w:tcPr>
            <w:tcW w:w="22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47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宣传报道达标率</w:t>
            </w:r>
          </w:p>
        </w:tc>
        <w:tc>
          <w:tcPr>
            <w:tcW w:w="105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1"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5" w:hRule="atLeast"/>
        </w:trPr>
        <w:tc>
          <w:tcPr>
            <w:tcW w:w="22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47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项目完成时间</w:t>
            </w:r>
          </w:p>
        </w:tc>
        <w:tc>
          <w:tcPr>
            <w:tcW w:w="105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2024年12月31日前</w:t>
            </w:r>
          </w:p>
        </w:tc>
        <w:tc>
          <w:tcPr>
            <w:tcW w:w="20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1"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5" w:hRule="atLeast"/>
        </w:trPr>
        <w:tc>
          <w:tcPr>
            <w:tcW w:w="224"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23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47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提升郸城形象</w:t>
            </w:r>
          </w:p>
        </w:tc>
        <w:tc>
          <w:tcPr>
            <w:tcW w:w="105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w:t>
            </w:r>
          </w:p>
        </w:tc>
        <w:tc>
          <w:tcPr>
            <w:tcW w:w="20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1"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5" w:hRule="atLeast"/>
        </w:trPr>
        <w:tc>
          <w:tcPr>
            <w:tcW w:w="22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3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47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加快县融媒体中心发展</w:t>
            </w:r>
          </w:p>
        </w:tc>
        <w:tc>
          <w:tcPr>
            <w:tcW w:w="105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加快</w:t>
            </w:r>
          </w:p>
        </w:tc>
        <w:tc>
          <w:tcPr>
            <w:tcW w:w="20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1"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6" w:hRule="atLeast"/>
        </w:trPr>
        <w:tc>
          <w:tcPr>
            <w:tcW w:w="22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2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47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105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20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2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1"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7" w:hRule="atLeast"/>
        </w:trPr>
        <w:tc>
          <w:tcPr>
            <w:tcW w:w="4071"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2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11"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bl>
    <w:p>
      <w:pPr>
        <w:keepNext w:val="0"/>
        <w:keepLines w:val="0"/>
        <w:pageBreakBefore w:val="0"/>
        <w:widowControl/>
        <w:kinsoku/>
        <w:wordWrap w:val="0"/>
        <w:overflowPunct/>
        <w:topLinePunct w:val="0"/>
        <w:autoSpaceDE/>
        <w:autoSpaceDN/>
        <w:bidi w:val="0"/>
        <w:spacing w:line="590" w:lineRule="exact"/>
        <w:jc w:val="both"/>
        <w:rPr>
          <w:rFonts w:hint="eastAsia" w:ascii="仿宋_GB2312" w:hAnsi="Times New Roman" w:eastAsia="仿宋_GB2312" w:cs="Times New Roman"/>
          <w:sz w:val="32"/>
          <w:szCs w:val="32"/>
          <w:lang w:val="en-US" w:eastAsia="zh-CN"/>
        </w:rPr>
      </w:pPr>
    </w:p>
    <w:p>
      <w:pPr>
        <w:keepNext w:val="0"/>
        <w:keepLines w:val="0"/>
        <w:pageBreakBefore w:val="0"/>
        <w:widowControl/>
        <w:kinsoku/>
        <w:wordWrap w:val="0"/>
        <w:overflowPunct/>
        <w:topLinePunct w:val="0"/>
        <w:autoSpaceDE/>
        <w:autoSpaceDN/>
        <w:bidi w:val="0"/>
        <w:spacing w:line="590" w:lineRule="exact"/>
        <w:jc w:val="both"/>
        <w:rPr>
          <w:rFonts w:hint="eastAsia" w:ascii="仿宋_GB2312" w:hAnsi="Times New Roman" w:eastAsia="仿宋_GB2312" w:cs="Times New Roman"/>
          <w:sz w:val="32"/>
          <w:szCs w:val="32"/>
          <w:lang w:val="en-US" w:eastAsia="zh-CN"/>
        </w:rPr>
      </w:pPr>
    </w:p>
    <w:p>
      <w:pPr>
        <w:keepNext w:val="0"/>
        <w:keepLines w:val="0"/>
        <w:pageBreakBefore w:val="0"/>
        <w:widowControl/>
        <w:kinsoku/>
        <w:wordWrap w:val="0"/>
        <w:overflowPunct/>
        <w:topLinePunct w:val="0"/>
        <w:autoSpaceDE/>
        <w:autoSpaceDN/>
        <w:bidi w:val="0"/>
        <w:spacing w:line="590" w:lineRule="exact"/>
        <w:jc w:val="both"/>
        <w:rPr>
          <w:rFonts w:hint="eastAsia" w:ascii="仿宋_GB2312" w:hAnsi="Times New Roman" w:eastAsia="仿宋_GB2312" w:cs="Times New Roman"/>
          <w:sz w:val="32"/>
          <w:szCs w:val="32"/>
          <w:lang w:val="en-US" w:eastAsia="zh-CN"/>
        </w:rPr>
      </w:pPr>
    </w:p>
    <w:p>
      <w:pPr>
        <w:keepNext w:val="0"/>
        <w:keepLines w:val="0"/>
        <w:pageBreakBefore w:val="0"/>
        <w:widowControl/>
        <w:kinsoku/>
        <w:wordWrap w:val="0"/>
        <w:overflowPunct/>
        <w:topLinePunct w:val="0"/>
        <w:autoSpaceDE/>
        <w:autoSpaceDN/>
        <w:bidi w:val="0"/>
        <w:spacing w:line="590" w:lineRule="exact"/>
        <w:jc w:val="both"/>
        <w:rPr>
          <w:rFonts w:hint="eastAsia" w:ascii="仿宋_GB2312" w:hAnsi="Times New Roman" w:eastAsia="仿宋_GB2312" w:cs="Times New Roman"/>
          <w:sz w:val="32"/>
          <w:szCs w:val="32"/>
          <w:lang w:val="en-US" w:eastAsia="zh-CN"/>
        </w:rPr>
      </w:pPr>
    </w:p>
    <w:p>
      <w:pPr>
        <w:keepNext w:val="0"/>
        <w:keepLines w:val="0"/>
        <w:pageBreakBefore w:val="0"/>
        <w:widowControl/>
        <w:kinsoku/>
        <w:wordWrap w:val="0"/>
        <w:overflowPunct/>
        <w:topLinePunct w:val="0"/>
        <w:autoSpaceDE/>
        <w:autoSpaceDN/>
        <w:bidi w:val="0"/>
        <w:spacing w:line="590" w:lineRule="exact"/>
        <w:jc w:val="both"/>
        <w:rPr>
          <w:rFonts w:hint="eastAsia" w:ascii="仿宋_GB2312" w:hAnsi="Times New Roman" w:eastAsia="仿宋_GB2312" w:cs="Times New Roman"/>
          <w:sz w:val="32"/>
          <w:szCs w:val="32"/>
          <w:lang w:val="en-US" w:eastAsia="zh-CN"/>
        </w:r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42"/>
        <w:gridCol w:w="141"/>
        <w:gridCol w:w="458"/>
        <w:gridCol w:w="1224"/>
        <w:gridCol w:w="846"/>
        <w:gridCol w:w="3519"/>
        <w:gridCol w:w="6462"/>
        <w:gridCol w:w="846"/>
        <w:gridCol w:w="636"/>
        <w:gridCol w:w="436"/>
        <w:gridCol w:w="10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w:t>
            </w:r>
            <w:r>
              <w:rPr>
                <w:rFonts w:hint="eastAsia" w:ascii="宋体" w:hAnsi="宋体" w:cs="宋体"/>
                <w:i w:val="0"/>
                <w:iCs w:val="0"/>
                <w:color w:val="000000"/>
                <w:kern w:val="0"/>
                <w:sz w:val="18"/>
                <w:szCs w:val="18"/>
                <w:u w:val="none"/>
                <w:lang w:val="en-US" w:eastAsia="zh-CN" w:bidi="ar"/>
              </w:rPr>
              <w:t>9</w:t>
            </w:r>
            <w:r>
              <w:rPr>
                <w:rFonts w:hint="eastAsia" w:ascii="宋体" w:hAnsi="宋体" w:eastAsia="宋体" w:cs="宋体"/>
                <w:i w:val="0"/>
                <w:iCs w:val="0"/>
                <w:color w:val="000000"/>
                <w:kern w:val="0"/>
                <w:sz w:val="18"/>
                <w:szCs w:val="18"/>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396"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2024年工作经费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51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1222"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306"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年度资金总额：</w:t>
            </w: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104.62</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72.25</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97.64 %</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104.62</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72.25</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97.64 %</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51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55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本项目的资金拨付有完整的审批程序和手续，未出现审批程序和手续不合规的情况。</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本项目的资金已全部纳入预算绩效管理系统，完成了绩效目标设置、绩效监控、绩效自评价等预算绩效管理流程。</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13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977"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3885"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13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977" w:type="pct"/>
            <w:gridSpan w:val="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保障融媒体中心工作的正常运转，提高办公效率，提升融媒体中心的影响力和传播力。</w:t>
            </w:r>
          </w:p>
        </w:tc>
        <w:tc>
          <w:tcPr>
            <w:tcW w:w="3885" w:type="pct"/>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保障了融媒体中心工作的正常运转，提高了办公效率，提升了融媒体中心的影响力和传播力。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4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36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51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93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172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31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35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4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40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93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72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19"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5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4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40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3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项目总成本</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≤104.62万元</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72.25万元</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36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物业管理缴纳次数</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≥10次</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10次</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办公用品采购次数</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≥10次</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10次</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物业管理缴纳准确率</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办公设备购置合格率</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项目完成时间</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2024年12月31日前</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36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保障单位正常运转</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提高职工办公效率</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3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职工满意度</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777"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99.76</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bl>
    <w:p>
      <w:pPr>
        <w:keepNext w:val="0"/>
        <w:keepLines w:val="0"/>
        <w:pageBreakBefore w:val="0"/>
        <w:widowControl/>
        <w:kinsoku/>
        <w:wordWrap w:val="0"/>
        <w:overflowPunct/>
        <w:topLinePunct w:val="0"/>
        <w:autoSpaceDE/>
        <w:autoSpaceDN/>
        <w:bidi w:val="0"/>
        <w:spacing w:line="590" w:lineRule="exact"/>
        <w:jc w:val="both"/>
        <w:rPr>
          <w:rFonts w:hint="eastAsia" w:ascii="仿宋_GB2312" w:hAnsi="Times New Roman" w:eastAsia="仿宋_GB2312" w:cs="Times New Roman"/>
          <w:sz w:val="32"/>
          <w:szCs w:val="32"/>
          <w:lang w:val="en-US" w:eastAsia="zh-CN"/>
        </w:r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73"/>
        <w:gridCol w:w="127"/>
        <w:gridCol w:w="754"/>
        <w:gridCol w:w="806"/>
        <w:gridCol w:w="844"/>
        <w:gridCol w:w="3522"/>
        <w:gridCol w:w="6448"/>
        <w:gridCol w:w="841"/>
        <w:gridCol w:w="653"/>
        <w:gridCol w:w="433"/>
        <w:gridCol w:w="10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w:t>
            </w:r>
            <w:r>
              <w:rPr>
                <w:rFonts w:hint="eastAsia" w:ascii="宋体" w:hAnsi="宋体" w:cs="宋体"/>
                <w:i w:val="0"/>
                <w:iCs w:val="0"/>
                <w:color w:val="000000"/>
                <w:kern w:val="0"/>
                <w:sz w:val="18"/>
                <w:szCs w:val="18"/>
                <w:u w:val="none"/>
                <w:lang w:val="en-US" w:eastAsia="zh-CN" w:bidi="ar"/>
              </w:rPr>
              <w:t>9</w:t>
            </w:r>
            <w:r>
              <w:rPr>
                <w:rFonts w:hint="eastAsia" w:ascii="宋体" w:hAnsi="宋体" w:eastAsia="宋体" w:cs="宋体"/>
                <w:i w:val="0"/>
                <w:iCs w:val="0"/>
                <w:color w:val="000000"/>
                <w:kern w:val="0"/>
                <w:sz w:val="18"/>
                <w:szCs w:val="18"/>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25"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574"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2024年中央支持地方公共文化服务体系建设补助资金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25"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51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c>
          <w:tcPr>
            <w:tcW w:w="313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925"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25"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253"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11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202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26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2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45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42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年度资金总额：</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31.2</w:t>
            </w:r>
          </w:p>
        </w:tc>
        <w:tc>
          <w:tcPr>
            <w:tcW w:w="11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31.2</w:t>
            </w:r>
          </w:p>
        </w:tc>
        <w:tc>
          <w:tcPr>
            <w:tcW w:w="202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27.97</w:t>
            </w:r>
          </w:p>
        </w:tc>
        <w:tc>
          <w:tcPr>
            <w:tcW w:w="26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89.65 %</w:t>
            </w:r>
          </w:p>
        </w:tc>
        <w:tc>
          <w:tcPr>
            <w:tcW w:w="45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2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31.2</w:t>
            </w:r>
          </w:p>
        </w:tc>
        <w:tc>
          <w:tcPr>
            <w:tcW w:w="11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31.2</w:t>
            </w:r>
          </w:p>
        </w:tc>
        <w:tc>
          <w:tcPr>
            <w:tcW w:w="202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27.97</w:t>
            </w:r>
          </w:p>
        </w:tc>
        <w:tc>
          <w:tcPr>
            <w:tcW w:w="26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89.65 %</w:t>
            </w:r>
          </w:p>
        </w:tc>
        <w:tc>
          <w:tcPr>
            <w:tcW w:w="45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2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1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02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6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5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2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1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02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6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5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25"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518"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313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26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2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456"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2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8"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313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26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56"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2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8"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313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本项目的资金拨付有完整的审批程序和手续，未出现审批程序和手续不合规的情况。</w:t>
            </w:r>
          </w:p>
        </w:tc>
        <w:tc>
          <w:tcPr>
            <w:tcW w:w="26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56"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2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8"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313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26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56"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2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8"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313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本项目的资金已全部纳入预算绩效管理系统，完成了绩效目标设置、绩效监控、绩效自评价等预算绩效管理流程。</w:t>
            </w:r>
          </w:p>
        </w:tc>
        <w:tc>
          <w:tcPr>
            <w:tcW w:w="26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56"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188"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755"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4056"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18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755" w:type="pct"/>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支持无线机房设备日常维护维修及电力保障，提升县域群众收听收看广播电视体验。</w:t>
            </w:r>
          </w:p>
        </w:tc>
        <w:tc>
          <w:tcPr>
            <w:tcW w:w="4056" w:type="pct"/>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支持无线机房设备日常维护维修及电力保障，提升了县域群众收听收看广播电视体验。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14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276"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518"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110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202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26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20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3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32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1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7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1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02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6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3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2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4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7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51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项目总成本</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≤31.2万元</w:t>
            </w:r>
          </w:p>
        </w:tc>
        <w:tc>
          <w:tcPr>
            <w:tcW w:w="20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27.97万元</w:t>
            </w:r>
          </w:p>
        </w:tc>
        <w:tc>
          <w:tcPr>
            <w:tcW w:w="2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4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27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51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设备数量</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≥5套</w:t>
            </w:r>
          </w:p>
        </w:tc>
        <w:tc>
          <w:tcPr>
            <w:tcW w:w="20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5套</w:t>
            </w:r>
          </w:p>
        </w:tc>
        <w:tc>
          <w:tcPr>
            <w:tcW w:w="2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2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76"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51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维修质量合格率</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2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7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维修养护安全事故发生数</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=0次</w:t>
            </w:r>
          </w:p>
        </w:tc>
        <w:tc>
          <w:tcPr>
            <w:tcW w:w="20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0次</w:t>
            </w:r>
          </w:p>
        </w:tc>
        <w:tc>
          <w:tcPr>
            <w:tcW w:w="2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2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7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51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按期维修时效率</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2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4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276"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51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提升用户体验感</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w:t>
            </w:r>
          </w:p>
        </w:tc>
        <w:tc>
          <w:tcPr>
            <w:tcW w:w="20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2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7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稳定无线覆盖率</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w:t>
            </w:r>
          </w:p>
        </w:tc>
        <w:tc>
          <w:tcPr>
            <w:tcW w:w="20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w:t>
            </w:r>
          </w:p>
        </w:tc>
        <w:tc>
          <w:tcPr>
            <w:tcW w:w="2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2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4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27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51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20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2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4074"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2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98.97</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2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bl>
    <w:p>
      <w:pPr>
        <w:keepNext w:val="0"/>
        <w:keepLines w:val="0"/>
        <w:pageBreakBefore w:val="0"/>
        <w:widowControl/>
        <w:kinsoku/>
        <w:wordWrap w:val="0"/>
        <w:overflowPunct/>
        <w:topLinePunct w:val="0"/>
        <w:autoSpaceDE/>
        <w:autoSpaceDN/>
        <w:bidi w:val="0"/>
        <w:spacing w:line="590" w:lineRule="exact"/>
        <w:jc w:val="both"/>
        <w:rPr>
          <w:rFonts w:hint="eastAsia" w:ascii="仿宋_GB2312" w:hAnsi="Times New Roman" w:eastAsia="仿宋_GB2312" w:cs="Times New Roman"/>
          <w:sz w:val="32"/>
          <w:szCs w:val="32"/>
          <w:lang w:val="en-US" w:eastAsia="zh-CN"/>
        </w:rPr>
      </w:pPr>
    </w:p>
    <w:p>
      <w:pPr>
        <w:keepNext w:val="0"/>
        <w:keepLines w:val="0"/>
        <w:pageBreakBefore w:val="0"/>
        <w:widowControl/>
        <w:kinsoku/>
        <w:wordWrap w:val="0"/>
        <w:overflowPunct/>
        <w:topLinePunct w:val="0"/>
        <w:autoSpaceDE/>
        <w:autoSpaceDN/>
        <w:bidi w:val="0"/>
        <w:spacing w:line="590" w:lineRule="exact"/>
        <w:jc w:val="both"/>
        <w:rPr>
          <w:rFonts w:hint="eastAsia" w:ascii="仿宋_GB2312" w:hAnsi="Times New Roman" w:eastAsia="仿宋_GB2312" w:cs="Times New Roman"/>
          <w:sz w:val="32"/>
          <w:szCs w:val="32"/>
          <w:lang w:val="en-US" w:eastAsia="zh-CN"/>
        </w:rPr>
      </w:pPr>
    </w:p>
    <w:p>
      <w:pPr>
        <w:keepNext w:val="0"/>
        <w:keepLines w:val="0"/>
        <w:pageBreakBefore w:val="0"/>
        <w:widowControl/>
        <w:kinsoku/>
        <w:wordWrap w:val="0"/>
        <w:overflowPunct/>
        <w:topLinePunct w:val="0"/>
        <w:autoSpaceDE/>
        <w:autoSpaceDN/>
        <w:bidi w:val="0"/>
        <w:spacing w:line="590" w:lineRule="exact"/>
        <w:jc w:val="both"/>
        <w:rPr>
          <w:rFonts w:hint="eastAsia" w:ascii="仿宋_GB2312" w:hAnsi="Times New Roman" w:eastAsia="仿宋_GB2312" w:cs="Times New Roman"/>
          <w:sz w:val="32"/>
          <w:szCs w:val="32"/>
          <w:lang w:val="en-US" w:eastAsia="zh-CN"/>
        </w:r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42"/>
        <w:gridCol w:w="141"/>
        <w:gridCol w:w="458"/>
        <w:gridCol w:w="1224"/>
        <w:gridCol w:w="846"/>
        <w:gridCol w:w="3519"/>
        <w:gridCol w:w="6462"/>
        <w:gridCol w:w="846"/>
        <w:gridCol w:w="636"/>
        <w:gridCol w:w="436"/>
        <w:gridCol w:w="10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w:t>
            </w:r>
            <w:r>
              <w:rPr>
                <w:rFonts w:hint="eastAsia" w:ascii="宋体" w:hAnsi="宋体" w:cs="宋体"/>
                <w:i w:val="0"/>
                <w:iCs w:val="0"/>
                <w:color w:val="000000"/>
                <w:kern w:val="0"/>
                <w:sz w:val="18"/>
                <w:szCs w:val="18"/>
                <w:u w:val="none"/>
                <w:lang w:val="en-US" w:eastAsia="zh-CN" w:bidi="ar"/>
              </w:rPr>
              <w:t>9</w:t>
            </w:r>
            <w:r>
              <w:rPr>
                <w:rFonts w:hint="eastAsia" w:ascii="宋体" w:hAnsi="宋体" w:eastAsia="宋体" w:cs="宋体"/>
                <w:i w:val="0"/>
                <w:iCs w:val="0"/>
                <w:color w:val="000000"/>
                <w:kern w:val="0"/>
                <w:sz w:val="18"/>
                <w:szCs w:val="18"/>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396"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2024年中央支持地方公共文化服务体系建设补助资金豫财文【2023】86号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51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1222"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306"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年度资金总额：</w:t>
            </w: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31.2</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31.2</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27.97</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89.65 %</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31.2</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31.2</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27.97</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89.65 %</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51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55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本项目的资金拨付有完整的审批程序和手续，未出现审批程序和手续不合规的情况。</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本项目的资金已全部纳入预算绩效管理系统，完成了绩效目标设置、绩效监控、绩效自评价等预算绩效管理流程。</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13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977"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3885"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13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977" w:type="pct"/>
            <w:gridSpan w:val="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支持无线机房设备日常维护维修及电力保障，提升群众观看广播电视体验。</w:t>
            </w:r>
          </w:p>
        </w:tc>
        <w:tc>
          <w:tcPr>
            <w:tcW w:w="3885" w:type="pct"/>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支持无线机房设备日常维护维修及电力保障，提升了群众观看广播电视体验。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4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36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51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93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172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31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35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4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40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93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72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19"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5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4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40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3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项目总成本</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≤31.2万元</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27.97万元</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3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设备数量（套）</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≥5套</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5套</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维修养护安全事故发生数</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维修质量合格率</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项目完成时间</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2024年12月31日前</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36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提升用户体验感</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稳定无线覆盖率</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稳定</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777"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98.97</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bl>
    <w:p>
      <w:pPr>
        <w:keepNext w:val="0"/>
        <w:keepLines w:val="0"/>
        <w:pageBreakBefore w:val="0"/>
        <w:widowControl/>
        <w:kinsoku/>
        <w:wordWrap w:val="0"/>
        <w:overflowPunct/>
        <w:topLinePunct w:val="0"/>
        <w:autoSpaceDE/>
        <w:autoSpaceDN/>
        <w:bidi w:val="0"/>
        <w:spacing w:line="590" w:lineRule="exact"/>
        <w:jc w:val="both"/>
        <w:rPr>
          <w:rFonts w:hint="eastAsia" w:ascii="仿宋_GB2312" w:hAnsi="Times New Roman" w:eastAsia="仿宋_GB2312" w:cs="Times New Roman"/>
          <w:sz w:val="32"/>
          <w:szCs w:val="32"/>
          <w:lang w:val="en-US" w:eastAsia="zh-CN"/>
        </w:r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42"/>
        <w:gridCol w:w="141"/>
        <w:gridCol w:w="458"/>
        <w:gridCol w:w="1224"/>
        <w:gridCol w:w="846"/>
        <w:gridCol w:w="3519"/>
        <w:gridCol w:w="6462"/>
        <w:gridCol w:w="846"/>
        <w:gridCol w:w="636"/>
        <w:gridCol w:w="436"/>
        <w:gridCol w:w="10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w:t>
            </w:r>
            <w:r>
              <w:rPr>
                <w:rFonts w:hint="eastAsia" w:ascii="宋体" w:hAnsi="宋体" w:cs="宋体"/>
                <w:i w:val="0"/>
                <w:iCs w:val="0"/>
                <w:color w:val="000000"/>
                <w:kern w:val="0"/>
                <w:sz w:val="18"/>
                <w:szCs w:val="18"/>
                <w:u w:val="none"/>
                <w:lang w:val="en-US" w:eastAsia="zh-CN" w:bidi="ar"/>
              </w:rPr>
              <w:t>9</w:t>
            </w:r>
            <w:r>
              <w:rPr>
                <w:rFonts w:hint="eastAsia" w:ascii="宋体" w:hAnsi="宋体" w:eastAsia="宋体" w:cs="宋体"/>
                <w:i w:val="0"/>
                <w:iCs w:val="0"/>
                <w:color w:val="000000"/>
                <w:kern w:val="0"/>
                <w:sz w:val="18"/>
                <w:szCs w:val="18"/>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396"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提前下达2024年中央支持地方公共文化服务体系建设补助资金 豫财文【2023】86号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51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1222"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306"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年度资金总额：</w:t>
            </w: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21.25</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21.25</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21.25</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21.25</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51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55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本项目的资金拨付有完整的审批程序和手续，未出现审批程序和手续不合规的情况。</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本项目的资金已全部纳入预算绩效管理系统，完成了绩效目标设置、绩效监控、绩效自评价等预算绩效管理流程。</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13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977"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3885"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13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977" w:type="pct"/>
            <w:gridSpan w:val="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全媒体新闻传播所需设备购置，传播郸城声音。</w:t>
            </w:r>
          </w:p>
        </w:tc>
        <w:tc>
          <w:tcPr>
            <w:tcW w:w="3885" w:type="pct"/>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全媒体新闻传播所需设备购置，传播了郸城声音。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4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36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51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93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172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31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35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4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40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93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72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19"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5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4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40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3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项目总成本</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≤21.25万元</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21.25万元</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3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设备购置</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≥4套</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4套</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维修养护安全事故发生数</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=0次</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0次</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维修设备合格率</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项目完成时间</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2024年12月31日前</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36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树立郸城形象</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树立</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提高郸城影响力</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3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777"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bl>
    <w:p>
      <w:pPr>
        <w:keepNext w:val="0"/>
        <w:keepLines w:val="0"/>
        <w:pageBreakBefore w:val="0"/>
        <w:widowControl/>
        <w:kinsoku/>
        <w:wordWrap w:val="0"/>
        <w:overflowPunct/>
        <w:topLinePunct w:val="0"/>
        <w:autoSpaceDE/>
        <w:autoSpaceDN/>
        <w:bidi w:val="0"/>
        <w:spacing w:line="590" w:lineRule="exact"/>
        <w:jc w:val="both"/>
        <w:rPr>
          <w:rFonts w:hint="eastAsia" w:ascii="仿宋_GB2312" w:hAnsi="Times New Roman" w:eastAsia="仿宋_GB2312" w:cs="Times New Roman"/>
          <w:sz w:val="32"/>
          <w:szCs w:val="32"/>
          <w:lang w:val="en-US" w:eastAsia="zh-CN"/>
        </w:r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24"/>
        <w:gridCol w:w="365"/>
        <w:gridCol w:w="635"/>
        <w:gridCol w:w="836"/>
        <w:gridCol w:w="844"/>
        <w:gridCol w:w="3522"/>
        <w:gridCol w:w="6448"/>
        <w:gridCol w:w="841"/>
        <w:gridCol w:w="653"/>
        <w:gridCol w:w="433"/>
        <w:gridCol w:w="10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w:t>
            </w:r>
            <w:r>
              <w:rPr>
                <w:rFonts w:hint="eastAsia" w:ascii="宋体" w:hAnsi="宋体" w:cs="宋体"/>
                <w:i w:val="0"/>
                <w:iCs w:val="0"/>
                <w:color w:val="000000"/>
                <w:kern w:val="0"/>
                <w:sz w:val="18"/>
                <w:szCs w:val="18"/>
                <w:u w:val="none"/>
                <w:lang w:val="en-US" w:eastAsia="zh-CN" w:bidi="ar"/>
              </w:rPr>
              <w:t>9</w:t>
            </w:r>
            <w:r>
              <w:rPr>
                <w:rFonts w:hint="eastAsia" w:ascii="宋体" w:hAnsi="宋体" w:eastAsia="宋体" w:cs="宋体"/>
                <w:i w:val="0"/>
                <w:iCs w:val="0"/>
                <w:color w:val="000000"/>
                <w:kern w:val="0"/>
                <w:sz w:val="18"/>
                <w:szCs w:val="18"/>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5"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584"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提前下达2024年中央支持地方公共文化服务体系建设补助资金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5"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52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c>
          <w:tcPr>
            <w:tcW w:w="313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925"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5"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262"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11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202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26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2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45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41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6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年度资金总额：</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1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21.25</w:t>
            </w:r>
          </w:p>
        </w:tc>
        <w:tc>
          <w:tcPr>
            <w:tcW w:w="202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21.25</w:t>
            </w:r>
          </w:p>
        </w:tc>
        <w:tc>
          <w:tcPr>
            <w:tcW w:w="26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45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6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1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21.25</w:t>
            </w:r>
          </w:p>
        </w:tc>
        <w:tc>
          <w:tcPr>
            <w:tcW w:w="202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21.25</w:t>
            </w:r>
          </w:p>
        </w:tc>
        <w:tc>
          <w:tcPr>
            <w:tcW w:w="26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45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6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1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02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6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5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6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2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1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02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6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5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5"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527"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313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26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2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456"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2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313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26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56"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2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313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本项目的资金拨付有完整的审批程序和手续，未出现审批程序和手续不合规的情况。</w:t>
            </w:r>
          </w:p>
        </w:tc>
        <w:tc>
          <w:tcPr>
            <w:tcW w:w="26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56"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2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313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26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56"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2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313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本项目的资金已全部纳入预算绩效管理系统，完成了绩效目标设置、绩效监控、绩效自评价等预算绩效管理流程。</w:t>
            </w:r>
          </w:p>
        </w:tc>
        <w:tc>
          <w:tcPr>
            <w:tcW w:w="26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56"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10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841"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4056"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10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841" w:type="pct"/>
            <w:gridSpan w:val="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全媒体新闻传播所需设备购置，传播郸城声音。</w:t>
            </w:r>
          </w:p>
        </w:tc>
        <w:tc>
          <w:tcPr>
            <w:tcW w:w="4056" w:type="pct"/>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全媒体新闻传播所需设备购置，传播了郸城声音。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16"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19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527"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110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202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26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20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3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32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1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99"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27"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1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02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6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3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2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9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52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投入成本</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≤21.25万元</w:t>
            </w:r>
          </w:p>
        </w:tc>
        <w:tc>
          <w:tcPr>
            <w:tcW w:w="20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21.25万元</w:t>
            </w:r>
          </w:p>
        </w:tc>
        <w:tc>
          <w:tcPr>
            <w:tcW w:w="2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16"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19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52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购置设备数量</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≥4套</w:t>
            </w:r>
          </w:p>
        </w:tc>
        <w:tc>
          <w:tcPr>
            <w:tcW w:w="20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4套</w:t>
            </w:r>
          </w:p>
        </w:tc>
        <w:tc>
          <w:tcPr>
            <w:tcW w:w="2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2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1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9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52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维修设备事故发生次数</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=0次</w:t>
            </w:r>
          </w:p>
        </w:tc>
        <w:tc>
          <w:tcPr>
            <w:tcW w:w="20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0次</w:t>
            </w:r>
          </w:p>
        </w:tc>
        <w:tc>
          <w:tcPr>
            <w:tcW w:w="2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2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1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99"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2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维修设备合格率</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2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1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9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52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按期完成维修时效率</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2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16"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19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52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提高郸城新闻传播影响力</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w:t>
            </w:r>
          </w:p>
        </w:tc>
        <w:tc>
          <w:tcPr>
            <w:tcW w:w="20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2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1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99"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2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树立郸城形象</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树立</w:t>
            </w:r>
          </w:p>
        </w:tc>
        <w:tc>
          <w:tcPr>
            <w:tcW w:w="20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2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19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52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11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20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2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4074"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2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2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bl>
    <w:p>
      <w:pPr>
        <w:keepNext w:val="0"/>
        <w:keepLines w:val="0"/>
        <w:pageBreakBefore w:val="0"/>
        <w:widowControl/>
        <w:kinsoku/>
        <w:wordWrap w:val="0"/>
        <w:overflowPunct/>
        <w:topLinePunct w:val="0"/>
        <w:autoSpaceDE/>
        <w:autoSpaceDN/>
        <w:bidi w:val="0"/>
        <w:spacing w:line="590" w:lineRule="exact"/>
        <w:jc w:val="both"/>
        <w:rPr>
          <w:rFonts w:hint="eastAsia" w:ascii="仿宋_GB2312" w:hAnsi="Times New Roman" w:eastAsia="仿宋_GB2312" w:cs="Times New Roman"/>
          <w:sz w:val="32"/>
          <w:szCs w:val="32"/>
          <w:lang w:val="en-US" w:eastAsia="zh-CN"/>
        </w:rPr>
      </w:pPr>
    </w:p>
    <w:p>
      <w:pPr>
        <w:keepNext w:val="0"/>
        <w:keepLines w:val="0"/>
        <w:pageBreakBefore w:val="0"/>
        <w:widowControl/>
        <w:kinsoku/>
        <w:wordWrap w:val="0"/>
        <w:overflowPunct/>
        <w:topLinePunct w:val="0"/>
        <w:autoSpaceDE/>
        <w:autoSpaceDN/>
        <w:bidi w:val="0"/>
        <w:spacing w:line="590" w:lineRule="exact"/>
        <w:jc w:val="both"/>
        <w:rPr>
          <w:rFonts w:hint="eastAsia" w:ascii="仿宋_GB2312" w:hAnsi="Times New Roman" w:eastAsia="仿宋_GB2312" w:cs="Times New Roman"/>
          <w:sz w:val="32"/>
          <w:szCs w:val="32"/>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42"/>
        <w:gridCol w:w="141"/>
        <w:gridCol w:w="458"/>
        <w:gridCol w:w="1224"/>
        <w:gridCol w:w="846"/>
        <w:gridCol w:w="3519"/>
        <w:gridCol w:w="6462"/>
        <w:gridCol w:w="846"/>
        <w:gridCol w:w="636"/>
        <w:gridCol w:w="436"/>
        <w:gridCol w:w="10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w:t>
            </w:r>
            <w:r>
              <w:rPr>
                <w:rFonts w:hint="eastAsia" w:ascii="宋体" w:hAnsi="宋体" w:cs="宋体"/>
                <w:i w:val="0"/>
                <w:iCs w:val="0"/>
                <w:color w:val="000000"/>
                <w:kern w:val="0"/>
                <w:sz w:val="18"/>
                <w:szCs w:val="18"/>
                <w:u w:val="none"/>
                <w:lang w:val="en-US" w:eastAsia="zh-CN" w:bidi="ar"/>
              </w:rPr>
              <w:t>9</w:t>
            </w:r>
            <w:r>
              <w:rPr>
                <w:rFonts w:hint="eastAsia" w:ascii="宋体" w:hAnsi="宋体" w:eastAsia="宋体" w:cs="宋体"/>
                <w:i w:val="0"/>
                <w:iCs w:val="0"/>
                <w:color w:val="000000"/>
                <w:kern w:val="0"/>
                <w:sz w:val="18"/>
                <w:szCs w:val="18"/>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396"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周口电视台驻郸城县记者站工作经费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51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1222"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306"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年度资金总额：</w:t>
            </w: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51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55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本项目的资金拨付有完整的审批程序和手续，未出现审批程序和手续不合规的情况。</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本项目的资金已全部纳入预算绩效管理系统，完成了绩效目标设置、绩效监控、绩效自评价等预算绩效管理流程。</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13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977"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3885"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13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977" w:type="pct"/>
            <w:gridSpan w:val="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为展现郸城县经济发展情况，提高郸城形象，扩大郸城影响力。</w:t>
            </w:r>
          </w:p>
        </w:tc>
        <w:tc>
          <w:tcPr>
            <w:tcW w:w="3885" w:type="pct"/>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展现了郸城县经济发展情况，提高了郸城形象，扩大了郸城影响力。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4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36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51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93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172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31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35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4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40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93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72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19"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5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4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40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3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投入成本</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≤7万元</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7万元</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3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专题片个数</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≥2个</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2个</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制作专题片质量达标率</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项目完成时间</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2024年12月31日前</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36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提高郸城形象</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扩大郸城影响力</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扩大</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3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777"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bl>
    <w:p>
      <w:pPr>
        <w:keepNext w:val="0"/>
        <w:keepLines w:val="0"/>
        <w:pageBreakBefore w:val="0"/>
        <w:kinsoku/>
        <w:wordWrap w:val="0"/>
        <w:overflowPunct/>
        <w:topLinePunct w:val="0"/>
        <w:autoSpaceDE/>
        <w:autoSpaceDN/>
        <w:bidi w:val="0"/>
        <w:jc w:val="both"/>
        <w:outlineLvl w:val="0"/>
        <w:rPr>
          <w:rFonts w:ascii="黑体" w:hAnsi="黑体" w:eastAsia="黑体" w:cs="黑体"/>
          <w:sz w:val="48"/>
          <w:szCs w:val="48"/>
          <w:lang w:val="en-US" w:eastAsia="zh-CN"/>
        </w:r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42"/>
        <w:gridCol w:w="141"/>
        <w:gridCol w:w="458"/>
        <w:gridCol w:w="1224"/>
        <w:gridCol w:w="846"/>
        <w:gridCol w:w="3519"/>
        <w:gridCol w:w="6462"/>
        <w:gridCol w:w="846"/>
        <w:gridCol w:w="636"/>
        <w:gridCol w:w="436"/>
        <w:gridCol w:w="10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w:t>
            </w:r>
            <w:r>
              <w:rPr>
                <w:rFonts w:hint="eastAsia" w:ascii="宋体" w:hAnsi="宋体" w:cs="宋体"/>
                <w:i w:val="0"/>
                <w:iCs w:val="0"/>
                <w:color w:val="000000"/>
                <w:kern w:val="0"/>
                <w:sz w:val="18"/>
                <w:szCs w:val="18"/>
                <w:u w:val="none"/>
                <w:lang w:val="en-US" w:eastAsia="zh-CN" w:bidi="ar"/>
              </w:rPr>
              <w:t>9</w:t>
            </w:r>
            <w:r>
              <w:rPr>
                <w:rFonts w:hint="eastAsia" w:ascii="宋体" w:hAnsi="宋体" w:eastAsia="宋体" w:cs="宋体"/>
                <w:i w:val="0"/>
                <w:iCs w:val="0"/>
                <w:color w:val="000000"/>
                <w:kern w:val="0"/>
                <w:sz w:val="18"/>
                <w:szCs w:val="18"/>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396"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周口日报郸城新闻版和市两会宣传通版费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51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1222"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306"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年度资金总额：</w:t>
            </w: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2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72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5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51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55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本项目的资金拨付有完整的审批程序和手续，未出现审批程序和手续不合规的情况。</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03"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26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本项目的资金已全部纳入预算绩效管理系统，完成了绩效目标设置、绩效监控、绩效自评价等预算绩效管理流程。</w:t>
            </w:r>
          </w:p>
        </w:tc>
        <w:tc>
          <w:tcPr>
            <w:tcW w:w="3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13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977"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3885"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13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977" w:type="pct"/>
            <w:gridSpan w:val="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保障市两会宣传工作任务，提高市两会的影响力，提升群众参与公共文化事业的积极性。</w:t>
            </w:r>
          </w:p>
        </w:tc>
        <w:tc>
          <w:tcPr>
            <w:tcW w:w="3885" w:type="pct"/>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保障了市两会宣传工作任务，提高了市两会的影响力，提升了群众参与公共文化事业的积极性。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4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36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51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93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172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31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35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4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40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93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72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19"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5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4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40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3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投入成本</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≤33万元</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33万元</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3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市两会宣传报道次数</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市两会宣传报道质量达标率</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项目完成时间</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2024年12月31日前</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36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社会舆论氛围</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提高群众参与公共文化事业积极性</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6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提高市两会的宣传影响力</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4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3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w:t>
            </w:r>
          </w:p>
        </w:tc>
        <w:tc>
          <w:tcPr>
            <w:tcW w:w="17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777"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3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4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bl>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both"/>
        <w:outlineLvl w:val="0"/>
        <w:rPr>
          <w:rFonts w:ascii="黑体" w:hAnsi="黑体" w:eastAsia="黑体" w:cs="黑体"/>
          <w:sz w:val="48"/>
          <w:szCs w:val="48"/>
          <w:lang w:val="en-US" w:eastAsia="zh-CN"/>
        </w:r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678"/>
        <w:gridCol w:w="1688"/>
        <w:gridCol w:w="2267"/>
        <w:gridCol w:w="1582"/>
        <w:gridCol w:w="1586"/>
        <w:gridCol w:w="2286"/>
        <w:gridCol w:w="920"/>
        <w:gridCol w:w="939"/>
        <w:gridCol w:w="1006"/>
        <w:gridCol w:w="1178"/>
        <w:gridCol w:w="7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w:t>
            </w:r>
            <w:r>
              <w:rPr>
                <w:rFonts w:hint="eastAsia" w:ascii="宋体" w:hAnsi="宋体" w:cs="宋体"/>
                <w:i w:val="0"/>
                <w:iCs w:val="0"/>
                <w:color w:val="000000"/>
                <w:kern w:val="0"/>
                <w:sz w:val="18"/>
                <w:szCs w:val="18"/>
                <w:u w:val="none"/>
                <w:lang w:val="en-US" w:eastAsia="zh-CN" w:bidi="ar"/>
              </w:rPr>
              <w:t>9</w:t>
            </w:r>
            <w:bookmarkStart w:id="0" w:name="_GoBack"/>
            <w:bookmarkEnd w:id="0"/>
            <w:r>
              <w:rPr>
                <w:rFonts w:hint="eastAsia" w:ascii="宋体" w:hAnsi="宋体" w:eastAsia="宋体" w:cs="宋体"/>
                <w:i w:val="0"/>
                <w:iCs w:val="0"/>
                <w:color w:val="000000"/>
                <w:kern w:val="0"/>
                <w:sz w:val="18"/>
                <w:szCs w:val="18"/>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769" w:type="pct"/>
            <w:gridSpan w:val="3"/>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部门（单位）名称</w:t>
            </w:r>
          </w:p>
        </w:tc>
        <w:tc>
          <w:tcPr>
            <w:tcW w:w="3230"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郸城县融媒体中心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27" w:type="pct"/>
            <w:vMerge w:val="restart"/>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部门整体支出情况(万元)</w:t>
            </w:r>
          </w:p>
        </w:tc>
        <w:tc>
          <w:tcPr>
            <w:tcW w:w="1242" w:type="pct"/>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49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100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61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37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24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27" w:type="pct"/>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24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部门预算总额</w:t>
            </w:r>
          </w:p>
        </w:tc>
        <w:tc>
          <w:tcPr>
            <w:tcW w:w="49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763.07</w:t>
            </w:r>
          </w:p>
        </w:tc>
        <w:tc>
          <w:tcPr>
            <w:tcW w:w="49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1028.17</w:t>
            </w:r>
          </w:p>
        </w:tc>
        <w:tc>
          <w:tcPr>
            <w:tcW w:w="100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869.77</w:t>
            </w:r>
          </w:p>
        </w:tc>
        <w:tc>
          <w:tcPr>
            <w:tcW w:w="61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7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84.59 %</w:t>
            </w:r>
          </w:p>
        </w:tc>
        <w:tc>
          <w:tcPr>
            <w:tcW w:w="24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27" w:type="pct"/>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24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资金来源：（1）财政拨款</w:t>
            </w:r>
          </w:p>
        </w:tc>
        <w:tc>
          <w:tcPr>
            <w:tcW w:w="49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763.07</w:t>
            </w:r>
          </w:p>
        </w:tc>
        <w:tc>
          <w:tcPr>
            <w:tcW w:w="49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1028.17</w:t>
            </w:r>
          </w:p>
        </w:tc>
        <w:tc>
          <w:tcPr>
            <w:tcW w:w="100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869.77</w:t>
            </w:r>
          </w:p>
        </w:tc>
        <w:tc>
          <w:tcPr>
            <w:tcW w:w="61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7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84.59 %</w:t>
            </w:r>
          </w:p>
        </w:tc>
        <w:tc>
          <w:tcPr>
            <w:tcW w:w="24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27" w:type="pct"/>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24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（2）财政专户管理资金</w:t>
            </w:r>
          </w:p>
        </w:tc>
        <w:tc>
          <w:tcPr>
            <w:tcW w:w="49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49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0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61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7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24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27" w:type="pct"/>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24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（3）单位资金</w:t>
            </w:r>
          </w:p>
        </w:tc>
        <w:tc>
          <w:tcPr>
            <w:tcW w:w="49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49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0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61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7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24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2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年度履职目标</w:t>
            </w:r>
          </w:p>
        </w:tc>
        <w:tc>
          <w:tcPr>
            <w:tcW w:w="2237"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2235"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237" w:type="pct"/>
            <w:gridSpan w:val="4"/>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目标1：围绕县委、县政府中心工作和重大决策部署，开展宣传报道工作，为郸城经济社会发展提供服务，提升郸城形象。                                                                                                                                           目标2：向国家、省、市级党媒等主流媒体供稿，承担并高质量完成全县对外宣传任务贯彻执行党和国家有关新闻宣传、广播电视、网站和新媒体管理方面的法律法规和方针、政策，更好的引导群众、服务群众、提高县级融媒体中心的影响力，引导力，公信力。</w:t>
            </w:r>
          </w:p>
        </w:tc>
        <w:tc>
          <w:tcPr>
            <w:tcW w:w="2235" w:type="pct"/>
            <w:gridSpan w:val="6"/>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围绕县委、县政府中心工作和重大决策部署，开展了宣传报道工作，为郸城经济社会发展提供了服务，提升了郸城形象。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向国家、省、市级党媒等主流媒体供稿，承担并高质量完成了全县对外宣传任务贯彻执行党和国家有关新闻宣传、广播电视、网站和新媒体管理方面的法律法规和方针、政策，更好的引导了群众、服务群众、提高县级融媒体中心的影响力，引导力，公信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105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任务名称</w:t>
            </w:r>
          </w:p>
        </w:tc>
        <w:tc>
          <w:tcPr>
            <w:tcW w:w="1707"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主要内容</w:t>
            </w:r>
          </w:p>
        </w:tc>
        <w:tc>
          <w:tcPr>
            <w:tcW w:w="2235"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05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全县广播电视、网站等新媒体平台新闻播发与管理</w:t>
            </w:r>
          </w:p>
        </w:tc>
        <w:tc>
          <w:tcPr>
            <w:tcW w:w="1707"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全县广播电视、网站等新媒体平台新闻播发和平台运营</w:t>
            </w:r>
          </w:p>
        </w:tc>
        <w:tc>
          <w:tcPr>
            <w:tcW w:w="2235"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完成了全县的广播电视、网站等新媒体平台新闻播发和平台运营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4" w:hRule="atLeast"/>
        </w:trPr>
        <w:tc>
          <w:tcPr>
            <w:tcW w:w="52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53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投入管理指标</w:t>
            </w:r>
          </w:p>
        </w:tc>
        <w:tc>
          <w:tcPr>
            <w:tcW w:w="53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工作目标管理</w:t>
            </w: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年度履职目标相关性</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相关</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3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工作任务科学性</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科学</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3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绩效指标合理性</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合理</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3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预算和财务管理</w:t>
            </w: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预算编制完整性</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完整</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3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专项资金细化率</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3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预算调整率</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实际对广播事业行业的投入增加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3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结转结余率</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3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“三公经费”控制率</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3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政府采购执行率</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3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决算真实性</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真实</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3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资金使用合规性</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合规</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3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管理制度健全性</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健全</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3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预决算信息公开性</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公开</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3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资产管理规范性</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规范</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3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绩效管理</w:t>
            </w: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绩效监控完成率</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3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绩效目标编制完成率</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3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绩效自评完成率</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3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部门绩效评价完成率</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3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评价结果应用率</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2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53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重点工作任务完成</w:t>
            </w: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推进广播电视、报纸、网站、新媒体技术升级改造和良性发展任务完成率</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3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履职目标实现</w:t>
            </w: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围绕县委、县政府中心工作和重大决策部署，开展宣传报道工作，为郸城经济社会发展提供服务目标实现率</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8"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3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承担并高质量完成全县对外宣传任务贯彻执行党和国家有关新闻宣传目标实现率</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52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53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履职效益</w:t>
            </w: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丰富群众文化生活</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丰富</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5"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3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提升群众文化素养</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52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3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w:t>
            </w:r>
          </w:p>
        </w:tc>
        <w:tc>
          <w:tcPr>
            <w:tcW w:w="7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群众满意度</w:t>
            </w:r>
          </w:p>
        </w:tc>
        <w:tc>
          <w:tcPr>
            <w:tcW w:w="99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71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481"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2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99.1</w:t>
            </w:r>
          </w:p>
        </w:tc>
        <w:tc>
          <w:tcPr>
            <w:tcW w:w="31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17"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bl>
    <w:p>
      <w:pPr>
        <w:keepNext w:val="0"/>
        <w:keepLines w:val="0"/>
        <w:pageBreakBefore w:val="0"/>
        <w:kinsoku/>
        <w:wordWrap w:val="0"/>
        <w:overflowPunct/>
        <w:topLinePunct w:val="0"/>
        <w:autoSpaceDE/>
        <w:autoSpaceDN/>
        <w:bidi w:val="0"/>
        <w:jc w:val="both"/>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sectPr>
          <w:pgSz w:w="16838" w:h="11906" w:orient="landscape"/>
          <w:pgMar w:top="567" w:right="567" w:bottom="567" w:left="567"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000" w:usb1="0000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00000000" w:usb1="00000000" w:usb2="00000016" w:usb3="00000000" w:csb0="00040001" w:csb1="00000000"/>
  </w:font>
  <w:font w:name="华文中宋">
    <w:altName w:val="汉仪中宋简"/>
    <w:panose1 w:val="02010600040101010101"/>
    <w:charset w:val="00"/>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B95CDD"/>
    <w:rsid w:val="02E5725D"/>
    <w:rsid w:val="052B2F21"/>
    <w:rsid w:val="05DE4630"/>
    <w:rsid w:val="05FE7AE4"/>
    <w:rsid w:val="076F5347"/>
    <w:rsid w:val="0AAC240E"/>
    <w:rsid w:val="0B304DED"/>
    <w:rsid w:val="0B3D575C"/>
    <w:rsid w:val="0E8518F4"/>
    <w:rsid w:val="11E64458"/>
    <w:rsid w:val="15532609"/>
    <w:rsid w:val="15B90272"/>
    <w:rsid w:val="1C4526C3"/>
    <w:rsid w:val="1CF025CE"/>
    <w:rsid w:val="1F182311"/>
    <w:rsid w:val="214B42D7"/>
    <w:rsid w:val="22350AE4"/>
    <w:rsid w:val="235B27CC"/>
    <w:rsid w:val="258E03AA"/>
    <w:rsid w:val="27962024"/>
    <w:rsid w:val="2A2D4302"/>
    <w:rsid w:val="2B8209DE"/>
    <w:rsid w:val="2F1E6340"/>
    <w:rsid w:val="2F48454C"/>
    <w:rsid w:val="2F65383E"/>
    <w:rsid w:val="2FC35981"/>
    <w:rsid w:val="30AA08EF"/>
    <w:rsid w:val="316B62D0"/>
    <w:rsid w:val="32591CA8"/>
    <w:rsid w:val="32951856"/>
    <w:rsid w:val="33242BDA"/>
    <w:rsid w:val="33360C38"/>
    <w:rsid w:val="35A561EB"/>
    <w:rsid w:val="35A65B28"/>
    <w:rsid w:val="360337E4"/>
    <w:rsid w:val="36DB21BD"/>
    <w:rsid w:val="38E472E3"/>
    <w:rsid w:val="3D0F0457"/>
    <w:rsid w:val="3DAA1AA0"/>
    <w:rsid w:val="3E524A9F"/>
    <w:rsid w:val="45435142"/>
    <w:rsid w:val="45FE550D"/>
    <w:rsid w:val="47947ED7"/>
    <w:rsid w:val="4A2F2139"/>
    <w:rsid w:val="4BCE3AD9"/>
    <w:rsid w:val="4FA233AD"/>
    <w:rsid w:val="52DD4E28"/>
    <w:rsid w:val="53075C2D"/>
    <w:rsid w:val="53131E78"/>
    <w:rsid w:val="53963229"/>
    <w:rsid w:val="55B15025"/>
    <w:rsid w:val="56A812A9"/>
    <w:rsid w:val="573E39BB"/>
    <w:rsid w:val="5875340D"/>
    <w:rsid w:val="591064E5"/>
    <w:rsid w:val="592E5144"/>
    <w:rsid w:val="59B90F36"/>
    <w:rsid w:val="59F86D18"/>
    <w:rsid w:val="5A2D7B6F"/>
    <w:rsid w:val="5B3C72C4"/>
    <w:rsid w:val="5BB52DD3"/>
    <w:rsid w:val="5C69772C"/>
    <w:rsid w:val="5E145476"/>
    <w:rsid w:val="5F8F160F"/>
    <w:rsid w:val="5FB32A6C"/>
    <w:rsid w:val="60FA6BA5"/>
    <w:rsid w:val="63672613"/>
    <w:rsid w:val="64925346"/>
    <w:rsid w:val="65515201"/>
    <w:rsid w:val="66AB0DB4"/>
    <w:rsid w:val="66B5531C"/>
    <w:rsid w:val="6B120F8F"/>
    <w:rsid w:val="6D602485"/>
    <w:rsid w:val="6DDD5884"/>
    <w:rsid w:val="7423420D"/>
    <w:rsid w:val="75CF63FA"/>
    <w:rsid w:val="7C9D7C48"/>
    <w:rsid w:val="7DCF4ABD"/>
    <w:rsid w:val="7F3BA70B"/>
    <w:rsid w:val="7F5F2CC2"/>
    <w:rsid w:val="F73721C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qFormat/>
    <w:uiPriority w:val="1"/>
  </w:style>
  <w:style w:type="table" w:default="1" w:styleId="2">
    <w:name w:val="Normal Table"/>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uiPriority w:val="99"/>
    <w:rPr>
      <w:color w:val="0000FF"/>
      <w:u w:val="single"/>
    </w:rPr>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qFormat/>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qFormat/>
    <w:uiPriority w:val="59"/>
    <w:pPr>
      <w:widowControl w:val="0"/>
      <w:jc w:val="both"/>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qFormat/>
    <w:uiPriority w:val="0"/>
    <w:rPr>
      <w:rFonts w:hint="eastAsia" w:ascii="宋体" w:hAnsi="宋体" w:eastAsia="宋体" w:cs="宋体"/>
      <w:color w:val="000000"/>
      <w:sz w:val="22"/>
      <w:szCs w:val="22"/>
      <w:u w:val="none"/>
    </w:rPr>
  </w:style>
  <w:style w:type="character" w:customStyle="1" w:styleId="18">
    <w:name w:val="font51"/>
    <w:qFormat/>
    <w:uiPriority w:val="0"/>
    <w:rPr>
      <w:rFonts w:hint="eastAsia" w:ascii="宋体" w:hAnsi="宋体" w:eastAsia="宋体" w:cs="宋体"/>
      <w:color w:val="000000"/>
      <w:sz w:val="24"/>
      <w:szCs w:val="24"/>
      <w:u w:val="none"/>
    </w:rPr>
  </w:style>
  <w:style w:type="character" w:customStyle="1" w:styleId="19">
    <w:name w:val="font11"/>
    <w:qFormat/>
    <w:uiPriority w:val="0"/>
    <w:rPr>
      <w:rFonts w:hint="eastAsia" w:ascii="宋体" w:hAnsi="宋体" w:eastAsia="宋体" w:cs="宋体"/>
      <w:color w:val="000000"/>
      <w:sz w:val="20"/>
      <w:szCs w:val="20"/>
      <w:u w:val="none"/>
    </w:rPr>
  </w:style>
  <w:style w:type="character" w:customStyle="1" w:styleId="20">
    <w:name w:val="font41"/>
    <w:qFormat/>
    <w:uiPriority w:val="0"/>
    <w:rPr>
      <w:rFonts w:hint="eastAsia" w:ascii="宋体" w:hAnsi="宋体" w:eastAsia="宋体" w:cs="宋体"/>
      <w:color w:val="000000"/>
      <w:sz w:val="24"/>
      <w:szCs w:val="24"/>
      <w:u w:val="none"/>
    </w:rPr>
  </w:style>
  <w:style w:type="character" w:customStyle="1" w:styleId="21">
    <w:name w:val="font31"/>
    <w:basedOn w:val="4"/>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57</Pages>
  <Words>4509</Words>
  <Characters>7051</Characters>
  <Lines>1</Lines>
  <Paragraphs>1</Paragraphs>
  <TotalTime>11</TotalTime>
  <ScaleCrop>false</ScaleCrop>
  <LinksUpToDate>false</LinksUpToDate>
  <CharactersWithSpaces>7672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2007-11-29T19:41:00Z</dcterms:created>
  <dc:creator>管理者</dc:creator>
  <cp:lastModifiedBy>dcczj</cp:lastModifiedBy>
  <cp:lastPrinted>2025-08-01T00:04:00Z</cp:lastPrinted>
  <dcterms:modified xsi:type="dcterms:W3CDTF">2025-12-30T14:22:14Z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eyJoZGlkIjoiYjIxNjJkNzk4NTM3NzE4YjhkZTcyNzk0N2E5NGVkN2QiLCJ1c2VySWQiOiIyNjY4Mjg4ODMifQ==</vt:lpwstr>
  </property>
  <property fmtid="{D5CDD505-2E9C-101B-9397-08002B2CF9AE}" pid="4" name="ICV">
    <vt:lpwstr>41251508123B074E6EBB3269E5DB324F</vt:lpwstr>
  </property>
</Properties>
</file>