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jc w:val="left"/>
        <w:rPr>
          <w:rFonts w:hint="eastAsia" w:ascii="黑体" w:hAnsi="宋体" w:eastAsia="黑体" w:cs="宋体"/>
          <w:color w:val="000000" w:themeColor="text1"/>
          <w:kern w:val="0"/>
          <w:sz w:val="28"/>
          <w:szCs w:val="28"/>
          <w:lang w:val="en-US" w:eastAsia="zh-CN"/>
          <w14:textFill>
            <w14:solidFill>
              <w14:schemeClr w14:val="tx1"/>
            </w14:solidFill>
          </w14:textFill>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color w:val="000000" w:themeColor="text1"/>
          <w:kern w:val="0"/>
          <w:sz w:val="28"/>
          <w:szCs w:val="28"/>
          <w:lang w:val="en-US" w:eastAsia="zh-CN"/>
          <w14:textFill>
            <w14:solidFill>
              <w14:schemeClr w14:val="tx1"/>
            </w14:solidFill>
          </w14:textFill>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color w:val="000000" w:themeColor="text1"/>
          <w:kern w:val="0"/>
          <w:sz w:val="28"/>
          <w:szCs w:val="28"/>
          <w:lang w:val="en-US" w:eastAsia="zh-CN"/>
          <w14:textFill>
            <w14:solidFill>
              <w14:schemeClr w14:val="tx1"/>
            </w14:solidFill>
          </w14:textFill>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color w:val="000000" w:themeColor="text1"/>
          <w:kern w:val="0"/>
          <w:sz w:val="28"/>
          <w:szCs w:val="28"/>
          <w:lang w:val="en-US" w:eastAsia="zh-CN"/>
          <w14:textFill>
            <w14:solidFill>
              <w14:schemeClr w14:val="tx1"/>
            </w14:solidFill>
          </w14:textFill>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color w:val="000000" w:themeColor="text1"/>
          <w:kern w:val="0"/>
          <w:sz w:val="28"/>
          <w:szCs w:val="28"/>
          <w:lang w:val="en-US" w:eastAsia="zh-CN"/>
          <w14:textFill>
            <w14:solidFill>
              <w14:schemeClr w14:val="tx1"/>
            </w14:solidFill>
          </w14:textFill>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color w:val="000000" w:themeColor="text1"/>
          <w:kern w:val="0"/>
          <w:sz w:val="28"/>
          <w:szCs w:val="28"/>
          <w:lang w:val="en-US" w:eastAsia="zh-CN"/>
          <w14:textFill>
            <w14:solidFill>
              <w14:schemeClr w14:val="tx1"/>
            </w14:solidFill>
          </w14:textFill>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color w:val="000000" w:themeColor="text1"/>
          <w:kern w:val="0"/>
          <w:sz w:val="28"/>
          <w:szCs w:val="28"/>
          <w:lang w:val="en-US" w:eastAsia="zh-CN"/>
          <w14:textFill>
            <w14:solidFill>
              <w14:schemeClr w14:val="tx1"/>
            </w14:solidFill>
          </w14:textFill>
        </w:rPr>
      </w:pPr>
    </w:p>
    <w:p>
      <w:pPr>
        <w:keepNext w:val="0"/>
        <w:keepLines w:val="0"/>
        <w:pageBreakBefore w:val="0"/>
        <w:kinsoku/>
        <w:wordWrap w:val="0"/>
        <w:overflowPunct/>
        <w:topLinePunct w:val="0"/>
        <w:autoSpaceDE/>
        <w:autoSpaceDN/>
        <w:bidi w:val="0"/>
        <w:jc w:val="center"/>
        <w:rPr>
          <w:rFonts w:hint="eastAsia" w:ascii="黑体" w:hAnsi="黑体" w:eastAsia="黑体" w:cs="黑体"/>
          <w:color w:val="000000" w:themeColor="text1"/>
          <w:sz w:val="52"/>
          <w:szCs w:val="52"/>
          <w:lang w:val="en-US" w:eastAsia="zh-CN"/>
          <w14:textFill>
            <w14:solidFill>
              <w14:schemeClr w14:val="tx1"/>
            </w14:solidFill>
          </w14:textFill>
        </w:rPr>
      </w:pPr>
      <w:r>
        <w:rPr>
          <w:rFonts w:hint="eastAsia" w:ascii="黑体" w:hAnsi="黑体" w:eastAsia="黑体" w:cs="黑体"/>
          <w:color w:val="000000" w:themeColor="text1"/>
          <w:sz w:val="52"/>
          <w:szCs w:val="52"/>
          <w:lang w:val="en-US" w:eastAsia="zh-CN"/>
          <w14:textFill>
            <w14:solidFill>
              <w14:schemeClr w14:val="tx1"/>
            </w14:solidFill>
          </w14:textFill>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color w:val="000000" w:themeColor="text1"/>
          <w:sz w:val="52"/>
          <w:szCs w:val="52"/>
          <w:lang w:val="en-US" w:eastAsia="zh-CN"/>
          <w14:textFill>
            <w14:solidFill>
              <w14:schemeClr w14:val="tx1"/>
            </w14:solidFill>
          </w14:textFill>
        </w:rPr>
      </w:pPr>
      <w:r>
        <w:rPr>
          <w:rFonts w:hint="eastAsia" w:ascii="黑体" w:hAnsi="黑体" w:eastAsia="黑体" w:cs="黑体"/>
          <w:color w:val="000000" w:themeColor="text1"/>
          <w:sz w:val="52"/>
          <w:szCs w:val="52"/>
          <w:lang w:val="en-US" w:eastAsia="zh-CN"/>
          <w14:textFill>
            <w14:solidFill>
              <w14:schemeClr w14:val="tx1"/>
            </w14:solidFill>
          </w14:textFill>
        </w:rPr>
        <w:t>中共郸城县纪律检查委员会部门</w:t>
      </w:r>
    </w:p>
    <w:p>
      <w:pPr>
        <w:keepNext w:val="0"/>
        <w:keepLines w:val="0"/>
        <w:pageBreakBefore w:val="0"/>
        <w:kinsoku/>
        <w:wordWrap w:val="0"/>
        <w:overflowPunct/>
        <w:topLinePunct w:val="0"/>
        <w:autoSpaceDE/>
        <w:autoSpaceDN/>
        <w:bidi w:val="0"/>
        <w:jc w:val="center"/>
        <w:rPr>
          <w:rFonts w:hint="eastAsia" w:ascii="黑体" w:hAnsi="黑体" w:eastAsia="黑体" w:cs="黑体"/>
          <w:color w:val="000000" w:themeColor="text1"/>
          <w:sz w:val="52"/>
          <w:szCs w:val="52"/>
          <w:lang w:val="en-US" w:eastAsia="zh-CN"/>
          <w14:textFill>
            <w14:solidFill>
              <w14:schemeClr w14:val="tx1"/>
            </w14:solidFill>
          </w14:textFill>
        </w:rPr>
      </w:pPr>
      <w:r>
        <w:rPr>
          <w:rFonts w:hint="eastAsia" w:ascii="黑体" w:hAnsi="黑体" w:eastAsia="黑体" w:cs="黑体"/>
          <w:color w:val="000000" w:themeColor="text1"/>
          <w:sz w:val="52"/>
          <w:szCs w:val="52"/>
          <w:lang w:val="en-US" w:eastAsia="zh-CN"/>
          <w14:textFill>
            <w14:solidFill>
              <w14:schemeClr w14:val="tx1"/>
            </w14:solidFill>
          </w14:textFill>
        </w:rPr>
        <w:t>决算</w:t>
      </w:r>
    </w:p>
    <w:p>
      <w:pPr>
        <w:keepNext w:val="0"/>
        <w:keepLines w:val="0"/>
        <w:pageBreakBefore w:val="0"/>
        <w:kinsoku/>
        <w:wordWrap w:val="0"/>
        <w:overflowPunct/>
        <w:topLinePunct w:val="0"/>
        <w:autoSpaceDE/>
        <w:autoSpaceDN/>
        <w:bidi w:val="0"/>
        <w:jc w:val="center"/>
        <w:rPr>
          <w:rFonts w:ascii="黑体" w:hAnsi="黑体" w:eastAsia="黑体" w:cs="黑体"/>
          <w:color w:val="000000" w:themeColor="text1"/>
          <w:sz w:val="52"/>
          <w:szCs w:val="52"/>
          <w:lang w:val="en-US" w:eastAsia="zh-CN"/>
          <w14:textFill>
            <w14:solidFill>
              <w14:schemeClr w14:val="tx1"/>
            </w14:solidFill>
          </w14:textFill>
        </w:rPr>
      </w:pPr>
    </w:p>
    <w:p>
      <w:pPr>
        <w:keepNext w:val="0"/>
        <w:keepLines w:val="0"/>
        <w:pageBreakBefore w:val="0"/>
        <w:kinsoku/>
        <w:wordWrap w:val="0"/>
        <w:overflowPunct/>
        <w:topLinePunct w:val="0"/>
        <w:autoSpaceDE/>
        <w:autoSpaceDN/>
        <w:bidi w:val="0"/>
        <w:jc w:val="center"/>
        <w:rPr>
          <w:rFonts w:hint="eastAsia" w:ascii="黑体" w:hAnsi="黑体" w:eastAsia="黑体" w:cs="黑体"/>
          <w:color w:val="000000" w:themeColor="text1"/>
          <w:sz w:val="52"/>
          <w:szCs w:val="52"/>
          <w:lang w:val="en-US" w:eastAsia="zh-CN"/>
          <w14:textFill>
            <w14:solidFill>
              <w14:schemeClr w14:val="tx1"/>
            </w14:solidFill>
          </w14:textFill>
        </w:rPr>
      </w:pPr>
    </w:p>
    <w:p>
      <w:pPr>
        <w:keepNext w:val="0"/>
        <w:keepLines w:val="0"/>
        <w:pageBreakBefore w:val="0"/>
        <w:kinsoku/>
        <w:wordWrap w:val="0"/>
        <w:overflowPunct/>
        <w:topLinePunct w:val="0"/>
        <w:autoSpaceDE/>
        <w:autoSpaceDN/>
        <w:bidi w:val="0"/>
        <w:jc w:val="center"/>
        <w:rPr>
          <w:rFonts w:hint="eastAsia" w:ascii="黑体" w:hAnsi="黑体" w:eastAsia="黑体" w:cs="黑体"/>
          <w:color w:val="000000" w:themeColor="text1"/>
          <w:sz w:val="52"/>
          <w:szCs w:val="52"/>
          <w:lang w:val="en-US" w:eastAsia="zh-CN"/>
          <w14:textFill>
            <w14:solidFill>
              <w14:schemeClr w14:val="tx1"/>
            </w14:solidFill>
          </w14:textFill>
        </w:rPr>
      </w:pPr>
    </w:p>
    <w:p>
      <w:pPr>
        <w:keepNext w:val="0"/>
        <w:keepLines w:val="0"/>
        <w:pageBreakBefore w:val="0"/>
        <w:kinsoku/>
        <w:wordWrap w:val="0"/>
        <w:overflowPunct/>
        <w:topLinePunct w:val="0"/>
        <w:autoSpaceDE/>
        <w:autoSpaceDN/>
        <w:bidi w:val="0"/>
        <w:jc w:val="center"/>
        <w:rPr>
          <w:rFonts w:hint="eastAsia" w:ascii="黑体" w:hAnsi="黑体" w:eastAsia="黑体" w:cs="黑体"/>
          <w:color w:val="000000" w:themeColor="text1"/>
          <w:sz w:val="52"/>
          <w:szCs w:val="52"/>
          <w:lang w:val="en-US" w:eastAsia="zh-CN"/>
          <w14:textFill>
            <w14:solidFill>
              <w14:schemeClr w14:val="tx1"/>
            </w14:solidFill>
          </w14:textFill>
        </w:rPr>
      </w:pPr>
    </w:p>
    <w:p>
      <w:pPr>
        <w:keepNext w:val="0"/>
        <w:keepLines w:val="0"/>
        <w:pageBreakBefore w:val="0"/>
        <w:kinsoku/>
        <w:wordWrap w:val="0"/>
        <w:overflowPunct/>
        <w:topLinePunct w:val="0"/>
        <w:autoSpaceDE/>
        <w:autoSpaceDN/>
        <w:bidi w:val="0"/>
        <w:jc w:val="center"/>
        <w:rPr>
          <w:rFonts w:hint="eastAsia" w:ascii="黑体" w:hAnsi="黑体" w:eastAsia="黑体" w:cs="黑体"/>
          <w:color w:val="000000" w:themeColor="text1"/>
          <w:sz w:val="52"/>
          <w:szCs w:val="52"/>
          <w:lang w:val="en-US" w:eastAsia="zh-CN"/>
          <w14:textFill>
            <w14:solidFill>
              <w14:schemeClr w14:val="tx1"/>
            </w14:solidFill>
          </w14:textFill>
        </w:rPr>
      </w:pPr>
    </w:p>
    <w:p>
      <w:pPr>
        <w:keepNext w:val="0"/>
        <w:keepLines w:val="0"/>
        <w:pageBreakBefore w:val="0"/>
        <w:kinsoku/>
        <w:wordWrap w:val="0"/>
        <w:overflowPunct/>
        <w:topLinePunct w:val="0"/>
        <w:autoSpaceDE/>
        <w:autoSpaceDN/>
        <w:bidi w:val="0"/>
        <w:jc w:val="center"/>
        <w:rPr>
          <w:rFonts w:hint="eastAsia" w:ascii="黑体" w:hAnsi="黑体" w:eastAsia="黑体" w:cs="黑体"/>
          <w:color w:val="000000" w:themeColor="text1"/>
          <w:sz w:val="52"/>
          <w:szCs w:val="52"/>
          <w:lang w:val="en-US" w:eastAsia="zh-CN"/>
          <w14:textFill>
            <w14:solidFill>
              <w14:schemeClr w14:val="tx1"/>
            </w14:solidFill>
          </w14:textFill>
        </w:rPr>
      </w:pPr>
    </w:p>
    <w:p>
      <w:pPr>
        <w:keepNext w:val="0"/>
        <w:keepLines w:val="0"/>
        <w:pageBreakBefore w:val="0"/>
        <w:kinsoku/>
        <w:wordWrap w:val="0"/>
        <w:overflowPunct/>
        <w:topLinePunct w:val="0"/>
        <w:autoSpaceDE/>
        <w:autoSpaceDN/>
        <w:bidi w:val="0"/>
        <w:jc w:val="center"/>
        <w:rPr>
          <w:rFonts w:ascii="黑体" w:hAnsi="黑体" w:eastAsia="黑体" w:cs="黑体"/>
          <w:color w:val="000000" w:themeColor="text1"/>
          <w:sz w:val="32"/>
          <w:szCs w:val="32"/>
          <w:lang w:val="en-US" w:eastAsia="zh-CN"/>
          <w14:textFill>
            <w14:solidFill>
              <w14:schemeClr w14:val="tx1"/>
            </w14:solidFill>
          </w14:textFill>
        </w:rPr>
      </w:pPr>
      <w:r>
        <w:rPr>
          <w:rFonts w:hint="eastAsia" w:ascii="黑体" w:hAnsi="黑体" w:eastAsia="黑体" w:cs="黑体"/>
          <w:color w:val="000000" w:themeColor="text1"/>
          <w:sz w:val="32"/>
          <w:szCs w:val="32"/>
          <w:lang w:val="en-US" w:eastAsia="zh-CN"/>
          <w14:textFill>
            <w14:solidFill>
              <w14:schemeClr w14:val="tx1"/>
            </w14:solidFill>
          </w14:textFill>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color w:val="000000" w:themeColor="text1"/>
          <w:sz w:val="32"/>
          <w:szCs w:val="32"/>
          <w:lang w:val="en-US" w:eastAsia="zh-CN"/>
          <w14:textFill>
            <w14:solidFill>
              <w14:schemeClr w14:val="tx1"/>
            </w14:solidFill>
          </w14:textFill>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color w:val="000000" w:themeColor="text1"/>
          <w:sz w:val="36"/>
          <w:szCs w:val="36"/>
          <w:lang w:val="en-US" w:eastAsia="zh-CN"/>
          <w14:textFill>
            <w14:solidFill>
              <w14:schemeClr w14:val="tx1"/>
            </w14:solidFill>
          </w14:textFill>
        </w:rPr>
      </w:pPr>
      <w:r>
        <w:rPr>
          <w:rFonts w:hint="eastAsia" w:ascii="黑体" w:hAnsi="黑体" w:eastAsia="黑体" w:cs="黑体"/>
          <w:color w:val="000000" w:themeColor="text1"/>
          <w:sz w:val="36"/>
          <w:szCs w:val="36"/>
          <w:lang w:val="en-US" w:eastAsia="zh-CN"/>
          <w14:textFill>
            <w14:solidFill>
              <w14:schemeClr w14:val="tx1"/>
            </w14:solidFill>
          </w14:textFill>
        </w:rPr>
        <w:t xml:space="preserve">目 </w:t>
      </w:r>
      <w:r>
        <w:rPr>
          <w:rFonts w:ascii="黑体" w:hAnsi="黑体" w:eastAsia="黑体" w:cs="黑体"/>
          <w:color w:val="000000" w:themeColor="text1"/>
          <w:sz w:val="36"/>
          <w:szCs w:val="36"/>
          <w:lang w:val="en-US" w:eastAsia="zh-CN"/>
          <w14:textFill>
            <w14:solidFill>
              <w14:schemeClr w14:val="tx1"/>
            </w14:solidFill>
          </w14:textFill>
        </w:rPr>
        <w:t xml:space="preserve"> </w:t>
      </w:r>
      <w:r>
        <w:rPr>
          <w:rFonts w:hint="eastAsia" w:ascii="黑体" w:hAnsi="黑体" w:eastAsia="黑体" w:cs="黑体"/>
          <w:color w:val="000000" w:themeColor="text1"/>
          <w:sz w:val="36"/>
          <w:szCs w:val="36"/>
          <w:lang w:val="en-US" w:eastAsia="zh-CN"/>
          <w14:textFill>
            <w14:solidFill>
              <w14:schemeClr w14:val="tx1"/>
            </w14:solidFill>
          </w14:textFill>
        </w:rPr>
        <w:t>录</w:t>
      </w:r>
    </w:p>
    <w:p>
      <w:pPr>
        <w:keepNext w:val="0"/>
        <w:keepLines w:val="0"/>
        <w:pageBreakBefore w:val="0"/>
        <w:kinsoku/>
        <w:wordWrap w:val="0"/>
        <w:overflowPunct/>
        <w:topLinePunct w:val="0"/>
        <w:autoSpaceDE/>
        <w:autoSpaceDN/>
        <w:bidi w:val="0"/>
        <w:jc w:val="left"/>
        <w:rPr>
          <w:rFonts w:ascii="黑体" w:hAnsi="黑体" w:eastAsia="黑体" w:cs="黑体"/>
          <w:color w:val="000000" w:themeColor="text1"/>
          <w:sz w:val="32"/>
          <w:szCs w:val="32"/>
          <w:lang w:val="en-US" w:eastAsia="zh-CN"/>
          <w14:textFill>
            <w14:solidFill>
              <w14:schemeClr w14:val="tx1"/>
            </w14:solidFill>
          </w14:textFill>
        </w:rPr>
      </w:pPr>
      <w:r>
        <w:rPr>
          <w:rFonts w:hint="eastAsia" w:ascii="黑体" w:hAnsi="黑体" w:eastAsia="黑体" w:cs="黑体"/>
          <w:color w:val="000000" w:themeColor="text1"/>
          <w:sz w:val="32"/>
          <w:szCs w:val="32"/>
          <w:lang w:val="en-US" w:eastAsia="zh-CN"/>
          <w14:textFill>
            <w14:solidFill>
              <w14:schemeClr w14:val="tx1"/>
            </w14:solidFill>
          </w14:textFill>
        </w:rPr>
        <w:t>第一部分  中共郸城县纪律检查委员会概况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color w:val="000000" w:themeColor="text1"/>
          <w:sz w:val="32"/>
          <w:szCs w:val="32"/>
          <w:lang w:val="en-US" w:eastAsia="zh-CN"/>
          <w14:textFill>
            <w14:solidFill>
              <w14:schemeClr w14:val="tx1"/>
            </w14:solidFill>
          </w14:textFill>
        </w:rPr>
      </w:pPr>
      <w:r>
        <w:rPr>
          <w:rFonts w:hint="eastAsia" w:ascii="宋体" w:hAnsi="宋体" w:cs="宋体"/>
          <w:color w:val="000000" w:themeColor="text1"/>
          <w:sz w:val="32"/>
          <w:szCs w:val="32"/>
          <w:lang w:val="en-US" w:eastAsia="zh-CN"/>
          <w14:textFill>
            <w14:solidFill>
              <w14:schemeClr w14:val="tx1"/>
            </w14:solidFill>
          </w14:textFill>
        </w:rPr>
        <w:t>部门职责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color w:val="000000" w:themeColor="text1"/>
          <w:sz w:val="32"/>
          <w:szCs w:val="32"/>
          <w:lang w:val="en-US" w:eastAsia="zh-CN"/>
          <w14:textFill>
            <w14:solidFill>
              <w14:schemeClr w14:val="tx1"/>
            </w14:solidFill>
          </w14:textFill>
        </w:rPr>
      </w:pPr>
      <w:r>
        <w:rPr>
          <w:rFonts w:hint="eastAsia" w:ascii="宋体" w:hAnsi="宋体" w:cs="宋体"/>
          <w:color w:val="000000" w:themeColor="text1"/>
          <w:sz w:val="32"/>
          <w:szCs w:val="32"/>
          <w:lang w:val="en-US" w:eastAsia="zh-CN"/>
          <w14:textFill>
            <w14:solidFill>
              <w14:schemeClr w14:val="tx1"/>
            </w14:solidFill>
          </w14:textFill>
        </w:rPr>
        <w:t>机构设置</w:t>
      </w:r>
    </w:p>
    <w:p>
      <w:pPr>
        <w:keepNext w:val="0"/>
        <w:keepLines w:val="0"/>
        <w:pageBreakBefore w:val="0"/>
        <w:kinsoku/>
        <w:wordWrap w:val="0"/>
        <w:overflowPunct/>
        <w:topLinePunct w:val="0"/>
        <w:autoSpaceDE/>
        <w:autoSpaceDN/>
        <w:bidi w:val="0"/>
        <w:jc w:val="left"/>
        <w:rPr>
          <w:rFonts w:ascii="黑体" w:hAnsi="黑体" w:eastAsia="黑体" w:cs="黑体"/>
          <w:color w:val="000000" w:themeColor="text1"/>
          <w:sz w:val="32"/>
          <w:szCs w:val="32"/>
          <w:lang w:val="en-US" w:eastAsia="zh-CN"/>
          <w14:textFill>
            <w14:solidFill>
              <w14:schemeClr w14:val="tx1"/>
            </w14:solidFill>
          </w14:textFill>
        </w:rPr>
      </w:pPr>
      <w:r>
        <w:rPr>
          <w:rFonts w:hint="eastAsia" w:ascii="黑体" w:hAnsi="黑体" w:eastAsia="黑体" w:cs="黑体"/>
          <w:color w:val="000000" w:themeColor="text1"/>
          <w:sz w:val="32"/>
          <w:szCs w:val="32"/>
          <w:lang w:val="en-US" w:eastAsia="zh-CN"/>
          <w14:textFill>
            <w14:solidFill>
              <w14:schemeClr w14:val="tx1"/>
            </w14:solidFill>
          </w14:textFill>
        </w:rPr>
        <w:t>第二部分  2024年度部门决算表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color w:val="000000" w:themeColor="text1"/>
          <w:sz w:val="32"/>
          <w:szCs w:val="32"/>
          <w:lang w:val="en-US" w:eastAsia="zh-CN"/>
          <w14:textFill>
            <w14:solidFill>
              <w14:schemeClr w14:val="tx1"/>
            </w14:solidFill>
          </w14:textFill>
        </w:rPr>
      </w:pPr>
      <w:r>
        <w:rPr>
          <w:rFonts w:hint="eastAsia" w:ascii="宋体" w:hAnsi="宋体" w:cs="黑体"/>
          <w:color w:val="000000" w:themeColor="text1"/>
          <w:sz w:val="32"/>
          <w:szCs w:val="32"/>
          <w:lang w:val="en-US" w:eastAsia="zh-CN"/>
          <w14:textFill>
            <w14:solidFill>
              <w14:schemeClr w14:val="tx1"/>
            </w14:solidFill>
          </w14:textFill>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color w:val="000000" w:themeColor="text1"/>
          <w:sz w:val="32"/>
          <w:szCs w:val="32"/>
          <w:lang w:val="en-US" w:eastAsia="zh-CN"/>
          <w14:textFill>
            <w14:solidFill>
              <w14:schemeClr w14:val="tx1"/>
            </w14:solidFill>
          </w14:textFill>
        </w:rPr>
      </w:pPr>
      <w:r>
        <w:rPr>
          <w:rFonts w:hint="eastAsia" w:ascii="宋体" w:hAnsi="宋体" w:cs="黑体"/>
          <w:color w:val="000000" w:themeColor="text1"/>
          <w:sz w:val="32"/>
          <w:szCs w:val="32"/>
          <w:lang w:val="en-US" w:eastAsia="zh-CN"/>
          <w14:textFill>
            <w14:solidFill>
              <w14:schemeClr w14:val="tx1"/>
            </w14:solidFill>
          </w14:textFill>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color w:val="000000" w:themeColor="text1"/>
          <w:sz w:val="32"/>
          <w:szCs w:val="32"/>
          <w:lang w:val="en-US" w:eastAsia="zh-CN"/>
          <w14:textFill>
            <w14:solidFill>
              <w14:schemeClr w14:val="tx1"/>
            </w14:solidFill>
          </w14:textFill>
        </w:rPr>
      </w:pPr>
      <w:r>
        <w:rPr>
          <w:rFonts w:hint="eastAsia" w:ascii="宋体" w:hAnsi="宋体" w:cs="黑体"/>
          <w:color w:val="000000" w:themeColor="text1"/>
          <w:sz w:val="32"/>
          <w:szCs w:val="32"/>
          <w:lang w:val="en-US" w:eastAsia="zh-CN"/>
          <w14:textFill>
            <w14:solidFill>
              <w14:schemeClr w14:val="tx1"/>
            </w14:solidFill>
          </w14:textFill>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color w:val="000000" w:themeColor="text1"/>
          <w:sz w:val="32"/>
          <w:szCs w:val="32"/>
          <w:lang w:val="en-US" w:eastAsia="zh-CN"/>
          <w14:textFill>
            <w14:solidFill>
              <w14:schemeClr w14:val="tx1"/>
            </w14:solidFill>
          </w14:textFill>
        </w:rPr>
      </w:pPr>
      <w:r>
        <w:rPr>
          <w:rFonts w:hint="eastAsia" w:ascii="宋体" w:hAnsi="宋体" w:cs="黑体"/>
          <w:color w:val="000000" w:themeColor="text1"/>
          <w:sz w:val="32"/>
          <w:szCs w:val="32"/>
          <w:lang w:val="en-US" w:eastAsia="zh-CN"/>
          <w14:textFill>
            <w14:solidFill>
              <w14:schemeClr w14:val="tx1"/>
            </w14:solidFill>
          </w14:textFill>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color w:val="000000" w:themeColor="text1"/>
          <w:sz w:val="32"/>
          <w:szCs w:val="32"/>
          <w:lang w:val="en-US" w:eastAsia="zh-CN"/>
          <w14:textFill>
            <w14:solidFill>
              <w14:schemeClr w14:val="tx1"/>
            </w14:solidFill>
          </w14:textFill>
        </w:rPr>
      </w:pPr>
      <w:r>
        <w:rPr>
          <w:rFonts w:hint="eastAsia" w:ascii="宋体" w:hAnsi="宋体" w:cs="黑体"/>
          <w:color w:val="000000" w:themeColor="text1"/>
          <w:sz w:val="32"/>
          <w:szCs w:val="32"/>
          <w:lang w:val="en-US" w:eastAsia="zh-CN"/>
          <w14:textFill>
            <w14:solidFill>
              <w14:schemeClr w14:val="tx1"/>
            </w14:solidFill>
          </w14:textFill>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color w:val="000000" w:themeColor="text1"/>
          <w:sz w:val="32"/>
          <w:szCs w:val="32"/>
          <w:lang w:val="en-US" w:eastAsia="zh-CN"/>
          <w14:textFill>
            <w14:solidFill>
              <w14:schemeClr w14:val="tx1"/>
            </w14:solidFill>
          </w14:textFill>
        </w:rPr>
      </w:pPr>
      <w:r>
        <w:rPr>
          <w:rFonts w:hint="eastAsia" w:ascii="宋体" w:hAnsi="宋体" w:cs="黑体"/>
          <w:color w:val="000000" w:themeColor="text1"/>
          <w:sz w:val="32"/>
          <w:szCs w:val="32"/>
          <w:lang w:val="en-US" w:eastAsia="zh-CN"/>
          <w14:textFill>
            <w14:solidFill>
              <w14:schemeClr w14:val="tx1"/>
            </w14:solidFill>
          </w14:textFill>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color w:val="000000" w:themeColor="text1"/>
          <w:sz w:val="32"/>
          <w:szCs w:val="32"/>
          <w:lang w:val="en-US" w:eastAsia="zh-CN"/>
          <w14:textFill>
            <w14:solidFill>
              <w14:schemeClr w14:val="tx1"/>
            </w14:solidFill>
          </w14:textFill>
        </w:rPr>
      </w:pPr>
      <w:r>
        <w:rPr>
          <w:rFonts w:hint="eastAsia" w:ascii="宋体" w:hAnsi="宋体" w:cs="黑体"/>
          <w:color w:val="000000" w:themeColor="text1"/>
          <w:sz w:val="32"/>
          <w:szCs w:val="32"/>
          <w:lang w:val="en-US" w:eastAsia="zh-CN"/>
          <w14:textFill>
            <w14:solidFill>
              <w14:schemeClr w14:val="tx1"/>
            </w14:solidFill>
          </w14:textFill>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color w:val="000000" w:themeColor="text1"/>
          <w:sz w:val="32"/>
          <w:szCs w:val="32"/>
          <w:lang w:val="en-US" w:eastAsia="zh-CN"/>
          <w14:textFill>
            <w14:solidFill>
              <w14:schemeClr w14:val="tx1"/>
            </w14:solidFill>
          </w14:textFill>
        </w:rPr>
      </w:pPr>
      <w:r>
        <w:rPr>
          <w:rFonts w:hint="eastAsia" w:ascii="宋体" w:hAnsi="宋体" w:cs="黑体"/>
          <w:color w:val="000000" w:themeColor="text1"/>
          <w:sz w:val="32"/>
          <w:szCs w:val="32"/>
          <w:lang w:val="en-US" w:eastAsia="zh-CN"/>
          <w14:textFill>
            <w14:solidFill>
              <w14:schemeClr w14:val="tx1"/>
            </w14:solidFill>
          </w14:textFill>
        </w:rPr>
        <w:t>八、国有</w:t>
      </w:r>
      <w:r>
        <w:rPr>
          <w:rFonts w:ascii="宋体" w:hAnsi="宋体" w:cs="黑体"/>
          <w:color w:val="000000" w:themeColor="text1"/>
          <w:sz w:val="32"/>
          <w:szCs w:val="32"/>
          <w:lang w:val="en-US" w:eastAsia="zh-CN"/>
          <w14:textFill>
            <w14:solidFill>
              <w14:schemeClr w14:val="tx1"/>
            </w14:solidFill>
          </w14:textFill>
        </w:rPr>
        <w:t>资本经营预算财政拨款</w:t>
      </w:r>
      <w:r>
        <w:rPr>
          <w:rFonts w:hint="eastAsia" w:ascii="宋体" w:hAnsi="宋体" w:cs="黑体"/>
          <w:color w:val="000000" w:themeColor="text1"/>
          <w:sz w:val="32"/>
          <w:szCs w:val="32"/>
          <w:lang w:val="en-US" w:eastAsia="zh-CN"/>
          <w14:textFill>
            <w14:solidFill>
              <w14:schemeClr w14:val="tx1"/>
            </w14:solidFill>
          </w14:textFill>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color w:val="000000" w:themeColor="text1"/>
          <w:sz w:val="32"/>
          <w:szCs w:val="32"/>
          <w:lang w:val="en-US" w:eastAsia="zh-CN"/>
          <w14:textFill>
            <w14:solidFill>
              <w14:schemeClr w14:val="tx1"/>
            </w14:solidFill>
          </w14:textFill>
        </w:rPr>
      </w:pPr>
      <w:r>
        <w:rPr>
          <w:rFonts w:hint="eastAsia" w:ascii="宋体" w:hAnsi="宋体" w:cs="黑体"/>
          <w:color w:val="000000" w:themeColor="text1"/>
          <w:sz w:val="32"/>
          <w:szCs w:val="32"/>
          <w:lang w:val="en-US" w:eastAsia="zh-CN"/>
          <w14:textFill>
            <w14:solidFill>
              <w14:schemeClr w14:val="tx1"/>
            </w14:solidFill>
          </w14:textFill>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color w:val="000000" w:themeColor="text1"/>
          <w:sz w:val="32"/>
          <w:szCs w:val="32"/>
          <w:lang w:val="en-US" w:eastAsia="zh-CN"/>
          <w14:textFill>
            <w14:solidFill>
              <w14:schemeClr w14:val="tx1"/>
            </w14:solidFill>
          </w14:textFill>
        </w:rPr>
      </w:pPr>
      <w:r>
        <w:rPr>
          <w:rFonts w:hint="eastAsia" w:ascii="黑体" w:hAnsi="黑体" w:eastAsia="黑体" w:cs="黑体"/>
          <w:color w:val="000000" w:themeColor="text1"/>
          <w:sz w:val="32"/>
          <w:szCs w:val="32"/>
          <w:lang w:val="en-US" w:eastAsia="zh-CN"/>
          <w14:textFill>
            <w14:solidFill>
              <w14:schemeClr w14:val="tx1"/>
            </w14:solidFill>
          </w14:textFill>
        </w:rPr>
        <w:t xml:space="preserve">第三部分  </w:t>
      </w:r>
      <w:r>
        <w:rPr>
          <w:rFonts w:ascii="黑体" w:hAnsi="黑体" w:eastAsia="黑体" w:cs="黑体"/>
          <w:color w:val="000000" w:themeColor="text1"/>
          <w:sz w:val="32"/>
          <w:szCs w:val="32"/>
          <w:lang w:val="en-US" w:eastAsia="zh-CN"/>
          <w14:textFill>
            <w14:solidFill>
              <w14:schemeClr w14:val="tx1"/>
            </w14:solidFill>
          </w14:textFill>
        </w:rPr>
        <w:t>2024</w:t>
      </w:r>
      <w:r>
        <w:rPr>
          <w:rFonts w:hint="eastAsia" w:ascii="黑体" w:hAnsi="黑体" w:eastAsia="黑体" w:cs="黑体"/>
          <w:color w:val="000000" w:themeColor="text1"/>
          <w:sz w:val="32"/>
          <w:szCs w:val="32"/>
          <w:lang w:val="en-US" w:eastAsia="zh-CN"/>
          <w14:textFill>
            <w14:solidFill>
              <w14:schemeClr w14:val="tx1"/>
            </w14:solidFill>
          </w14:textFill>
        </w:rPr>
        <w:t>年度</w:t>
      </w:r>
      <w:r>
        <w:rPr>
          <w:rFonts w:ascii="黑体" w:hAnsi="黑体" w:eastAsia="黑体" w:cs="黑体"/>
          <w:color w:val="000000" w:themeColor="text1"/>
          <w:sz w:val="32"/>
          <w:szCs w:val="32"/>
          <w:lang w:val="en-US" w:eastAsia="zh-CN"/>
          <w14:textFill>
            <w14:solidFill>
              <w14:schemeClr w14:val="tx1"/>
            </w14:solidFill>
          </w14:textFill>
        </w:rPr>
        <w:t>部门</w:t>
      </w:r>
      <w:r>
        <w:rPr>
          <w:rFonts w:hint="eastAsia" w:ascii="黑体" w:hAnsi="黑体" w:eastAsia="黑体" w:cs="黑体"/>
          <w:color w:val="000000" w:themeColor="text1"/>
          <w:sz w:val="32"/>
          <w:szCs w:val="32"/>
          <w:lang w:val="en-US" w:eastAsia="zh-CN"/>
          <w14:textFill>
            <w14:solidFill>
              <w14:schemeClr w14:val="tx1"/>
            </w14:solidFill>
          </w14:textFill>
        </w:rPr>
        <w:t>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color w:val="000000" w:themeColor="text1"/>
          <w:sz w:val="32"/>
          <w:szCs w:val="32"/>
          <w:lang w:val="en-US" w:eastAsia="zh-CN"/>
          <w14:textFill>
            <w14:solidFill>
              <w14:schemeClr w14:val="tx1"/>
            </w14:solidFill>
          </w14:textFill>
        </w:rPr>
      </w:pPr>
      <w:r>
        <w:rPr>
          <w:rFonts w:hint="eastAsia" w:ascii="宋体" w:hAnsi="宋体" w:cs="宋体"/>
          <w:color w:val="000000" w:themeColor="text1"/>
          <w:sz w:val="32"/>
          <w:szCs w:val="32"/>
          <w:lang w:val="en-US" w:eastAsia="zh-CN"/>
          <w14:textFill>
            <w14:solidFill>
              <w14:schemeClr w14:val="tx1"/>
            </w14:solidFill>
          </w14:textFill>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color w:val="000000" w:themeColor="text1"/>
          <w:sz w:val="32"/>
          <w:szCs w:val="32"/>
          <w:lang w:val="en-US" w:eastAsia="zh-CN"/>
          <w14:textFill>
            <w14:solidFill>
              <w14:schemeClr w14:val="tx1"/>
            </w14:solidFill>
          </w14:textFill>
        </w:rPr>
      </w:pPr>
      <w:r>
        <w:rPr>
          <w:rFonts w:hint="eastAsia" w:ascii="宋体" w:hAnsi="宋体" w:cs="宋体"/>
          <w:color w:val="000000" w:themeColor="text1"/>
          <w:sz w:val="32"/>
          <w:szCs w:val="32"/>
          <w:lang w:val="en-US" w:eastAsia="zh-CN"/>
          <w14:textFill>
            <w14:solidFill>
              <w14:schemeClr w14:val="tx1"/>
            </w14:solidFill>
          </w14:textFill>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color w:val="000000" w:themeColor="text1"/>
          <w:sz w:val="32"/>
          <w:szCs w:val="32"/>
          <w:lang w:val="en-US" w:eastAsia="zh-CN"/>
          <w14:textFill>
            <w14:solidFill>
              <w14:schemeClr w14:val="tx1"/>
            </w14:solidFill>
          </w14:textFill>
        </w:rPr>
      </w:pPr>
      <w:r>
        <w:rPr>
          <w:rFonts w:hint="eastAsia" w:ascii="宋体" w:hAnsi="宋体" w:cs="宋体"/>
          <w:color w:val="000000" w:themeColor="text1"/>
          <w:sz w:val="32"/>
          <w:szCs w:val="32"/>
          <w:lang w:val="en-US" w:eastAsia="zh-CN"/>
          <w14:textFill>
            <w14:solidFill>
              <w14:schemeClr w14:val="tx1"/>
            </w14:solidFill>
          </w14:textFill>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color w:val="000000" w:themeColor="text1"/>
          <w:sz w:val="32"/>
          <w:szCs w:val="32"/>
          <w:lang w:val="en-US" w:eastAsia="zh-CN"/>
          <w14:textFill>
            <w14:solidFill>
              <w14:schemeClr w14:val="tx1"/>
            </w14:solidFill>
          </w14:textFill>
        </w:rPr>
      </w:pPr>
      <w:r>
        <w:rPr>
          <w:rFonts w:hint="eastAsia" w:ascii="宋体" w:hAnsi="宋体" w:cs="宋体"/>
          <w:color w:val="000000" w:themeColor="text1"/>
          <w:sz w:val="32"/>
          <w:szCs w:val="32"/>
          <w:lang w:val="en-US" w:eastAsia="zh-CN"/>
          <w14:textFill>
            <w14:solidFill>
              <w14:schemeClr w14:val="tx1"/>
            </w14:solidFill>
          </w14:textFill>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color w:val="000000" w:themeColor="text1"/>
          <w:sz w:val="32"/>
          <w:szCs w:val="32"/>
          <w:lang w:val="en-US" w:eastAsia="zh-CN"/>
          <w14:textFill>
            <w14:solidFill>
              <w14:schemeClr w14:val="tx1"/>
            </w14:solidFill>
          </w14:textFill>
        </w:rPr>
      </w:pPr>
      <w:r>
        <w:rPr>
          <w:rFonts w:hint="eastAsia" w:ascii="宋体" w:hAnsi="宋体" w:cs="宋体"/>
          <w:color w:val="000000" w:themeColor="text1"/>
          <w:sz w:val="32"/>
          <w:szCs w:val="32"/>
          <w:lang w:val="en-US" w:eastAsia="zh-CN"/>
          <w14:textFill>
            <w14:solidFill>
              <w14:schemeClr w14:val="tx1"/>
            </w14:solidFill>
          </w14:textFill>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color w:val="000000" w:themeColor="text1"/>
          <w:sz w:val="32"/>
          <w:szCs w:val="32"/>
          <w:lang w:val="en-US" w:eastAsia="zh-CN"/>
          <w14:textFill>
            <w14:solidFill>
              <w14:schemeClr w14:val="tx1"/>
            </w14:solidFill>
          </w14:textFill>
        </w:rPr>
      </w:pPr>
      <w:r>
        <w:rPr>
          <w:rFonts w:hint="eastAsia" w:ascii="宋体" w:hAnsi="宋体" w:cs="宋体"/>
          <w:color w:val="000000" w:themeColor="text1"/>
          <w:sz w:val="32"/>
          <w:szCs w:val="32"/>
          <w:lang w:val="en-US" w:eastAsia="zh-CN"/>
          <w14:textFill>
            <w14:solidFill>
              <w14:schemeClr w14:val="tx1"/>
            </w14:solidFill>
          </w14:textFill>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color w:val="000000" w:themeColor="text1"/>
          <w:sz w:val="32"/>
          <w:szCs w:val="32"/>
          <w:lang w:val="en-US" w:eastAsia="zh-CN"/>
          <w14:textFill>
            <w14:solidFill>
              <w14:schemeClr w14:val="tx1"/>
            </w14:solidFill>
          </w14:textFill>
        </w:rPr>
      </w:pPr>
      <w:r>
        <w:rPr>
          <w:rFonts w:hint="eastAsia" w:ascii="宋体" w:hAnsi="宋体" w:cs="宋体"/>
          <w:color w:val="000000" w:themeColor="text1"/>
          <w:sz w:val="32"/>
          <w:szCs w:val="32"/>
          <w:lang w:val="en-US" w:eastAsia="zh-CN"/>
          <w14:textFill>
            <w14:solidFill>
              <w14:schemeClr w14:val="tx1"/>
            </w14:solidFill>
          </w14:textFill>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color w:val="000000" w:themeColor="text1"/>
          <w:sz w:val="32"/>
          <w:szCs w:val="32"/>
          <w:lang w:val="en-US" w:eastAsia="zh-CN"/>
          <w14:textFill>
            <w14:solidFill>
              <w14:schemeClr w14:val="tx1"/>
            </w14:solidFill>
          </w14:textFill>
        </w:rPr>
      </w:pPr>
      <w:r>
        <w:rPr>
          <w:rFonts w:hint="eastAsia" w:ascii="宋体" w:hAnsi="宋体" w:cs="宋体"/>
          <w:color w:val="000000" w:themeColor="text1"/>
          <w:sz w:val="32"/>
          <w:szCs w:val="32"/>
          <w:lang w:val="en-US" w:eastAsia="zh-CN"/>
          <w14:textFill>
            <w14:solidFill>
              <w14:schemeClr w14:val="tx1"/>
            </w14:solidFill>
          </w14:textFill>
        </w:rPr>
        <w:t>八、国有资本</w:t>
      </w:r>
      <w:r>
        <w:rPr>
          <w:rFonts w:ascii="宋体" w:hAnsi="宋体" w:cs="宋体"/>
          <w:color w:val="000000" w:themeColor="text1"/>
          <w:sz w:val="32"/>
          <w:szCs w:val="32"/>
          <w:lang w:val="en-US" w:eastAsia="zh-CN"/>
          <w14:textFill>
            <w14:solidFill>
              <w14:schemeClr w14:val="tx1"/>
            </w14:solidFill>
          </w14:textFill>
        </w:rPr>
        <w:t>经营</w:t>
      </w:r>
      <w:r>
        <w:rPr>
          <w:rFonts w:hint="eastAsia" w:ascii="宋体" w:hAnsi="宋体" w:cs="宋体"/>
          <w:color w:val="000000" w:themeColor="text1"/>
          <w:sz w:val="32"/>
          <w:szCs w:val="32"/>
          <w:lang w:val="en-US" w:eastAsia="zh-CN"/>
          <w14:textFill>
            <w14:solidFill>
              <w14:schemeClr w14:val="tx1"/>
            </w14:solidFill>
          </w14:textFill>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color w:val="000000" w:themeColor="text1"/>
          <w:sz w:val="32"/>
          <w:szCs w:val="32"/>
          <w:lang w:val="en-US" w:eastAsia="zh-CN"/>
          <w14:textFill>
            <w14:solidFill>
              <w14:schemeClr w14:val="tx1"/>
            </w14:solidFill>
          </w14:textFill>
        </w:rPr>
      </w:pPr>
      <w:r>
        <w:rPr>
          <w:rFonts w:hint="eastAsia" w:ascii="宋体" w:hAnsi="宋体" w:cs="宋体"/>
          <w:color w:val="000000" w:themeColor="text1"/>
          <w:sz w:val="32"/>
          <w:szCs w:val="32"/>
          <w:lang w:val="en-US" w:eastAsia="zh-CN"/>
          <w14:textFill>
            <w14:solidFill>
              <w14:schemeClr w14:val="tx1"/>
            </w14:solidFill>
          </w14:textFill>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color w:val="000000" w:themeColor="text1"/>
          <w:sz w:val="32"/>
          <w:szCs w:val="32"/>
          <w:lang w:val="en-US" w:eastAsia="zh-CN"/>
          <w14:textFill>
            <w14:solidFill>
              <w14:schemeClr w14:val="tx1"/>
            </w14:solidFill>
          </w14:textFill>
        </w:rPr>
      </w:pPr>
      <w:r>
        <w:rPr>
          <w:rFonts w:hint="eastAsia" w:ascii="宋体" w:hAnsi="宋体" w:cs="宋体"/>
          <w:color w:val="000000" w:themeColor="text1"/>
          <w:sz w:val="32"/>
          <w:szCs w:val="32"/>
          <w:lang w:val="en-US" w:eastAsia="zh-CN"/>
          <w14:textFill>
            <w14:solidFill>
              <w14:schemeClr w14:val="tx1"/>
            </w14:solidFill>
          </w14:textFill>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color w:val="000000" w:themeColor="text1"/>
          <w:sz w:val="32"/>
          <w:szCs w:val="32"/>
          <w:lang w:val="en-US" w:eastAsia="zh-CN"/>
          <w14:textFill>
            <w14:solidFill>
              <w14:schemeClr w14:val="tx1"/>
            </w14:solidFill>
          </w14:textFill>
        </w:rPr>
      </w:pPr>
      <w:r>
        <w:rPr>
          <w:rFonts w:hint="eastAsia" w:ascii="宋体" w:hAnsi="宋体" w:cs="宋体"/>
          <w:color w:val="000000" w:themeColor="text1"/>
          <w:sz w:val="32"/>
          <w:szCs w:val="32"/>
          <w:lang w:val="en-US" w:eastAsia="zh-CN"/>
          <w14:textFill>
            <w14:solidFill>
              <w14:schemeClr w14:val="tx1"/>
            </w14:solidFill>
          </w14:textFill>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color w:val="000000" w:themeColor="text1"/>
          <w:sz w:val="32"/>
          <w:szCs w:val="32"/>
          <w:lang w:val="en-US" w:eastAsia="zh-CN"/>
          <w14:textFill>
            <w14:solidFill>
              <w14:schemeClr w14:val="tx1"/>
            </w14:solidFill>
          </w14:textFill>
        </w:rPr>
      </w:pPr>
      <w:r>
        <w:rPr>
          <w:rFonts w:hint="eastAsia" w:ascii="宋体" w:hAnsi="宋体" w:cs="宋体"/>
          <w:color w:val="000000" w:themeColor="text1"/>
          <w:sz w:val="32"/>
          <w:szCs w:val="32"/>
          <w:lang w:val="en-US" w:eastAsia="zh-CN"/>
          <w14:textFill>
            <w14:solidFill>
              <w14:schemeClr w14:val="tx1"/>
            </w14:solidFill>
          </w14:textFill>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color w:val="000000" w:themeColor="text1"/>
          <w:sz w:val="32"/>
          <w:szCs w:val="32"/>
          <w:lang w:val="en-US" w:eastAsia="zh-CN"/>
          <w14:textFill>
            <w14:solidFill>
              <w14:schemeClr w14:val="tx1"/>
            </w14:solidFill>
          </w14:textFill>
        </w:rPr>
      </w:pPr>
      <w:r>
        <w:rPr>
          <w:rFonts w:hint="eastAsia" w:ascii="宋体" w:hAnsi="宋体" w:cs="宋体"/>
          <w:color w:val="000000" w:themeColor="text1"/>
          <w:sz w:val="32"/>
          <w:szCs w:val="32"/>
          <w:lang w:val="en-US" w:eastAsia="zh-CN"/>
          <w14:textFill>
            <w14:solidFill>
              <w14:schemeClr w14:val="tx1"/>
            </w14:solidFill>
          </w14:textFill>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color w:val="000000" w:themeColor="text1"/>
          <w:sz w:val="32"/>
          <w:szCs w:val="32"/>
          <w:lang w:val="en-US" w:eastAsia="zh-CN"/>
          <w14:textFill>
            <w14:solidFill>
              <w14:schemeClr w14:val="tx1"/>
            </w14:solidFill>
          </w14:textFill>
        </w:rPr>
      </w:pPr>
      <w:r>
        <w:rPr>
          <w:rFonts w:hint="eastAsia" w:ascii="黑体" w:hAnsi="黑体" w:eastAsia="黑体" w:cs="黑体"/>
          <w:color w:val="000000" w:themeColor="text1"/>
          <w:sz w:val="32"/>
          <w:szCs w:val="32"/>
          <w:lang w:val="en-US" w:eastAsia="zh-CN"/>
          <w14:textFill>
            <w14:solidFill>
              <w14:schemeClr w14:val="tx1"/>
            </w14:solidFill>
          </w14:textFill>
        </w:rPr>
        <w:t>第四部分  名词解释</w:t>
      </w:r>
    </w:p>
    <w:p>
      <w:pPr>
        <w:keepNext w:val="0"/>
        <w:keepLines w:val="0"/>
        <w:pageBreakBefore w:val="0"/>
        <w:kinsoku/>
        <w:wordWrap w:val="0"/>
        <w:overflowPunct/>
        <w:topLinePunct w:val="0"/>
        <w:autoSpaceDE/>
        <w:autoSpaceDN/>
        <w:bidi w:val="0"/>
        <w:jc w:val="left"/>
        <w:rPr>
          <w:rFonts w:hint="eastAsia" w:ascii="黑体" w:hAnsi="黑体" w:eastAsia="黑体" w:cs="黑体"/>
          <w:color w:val="000000" w:themeColor="text1"/>
          <w:sz w:val="32"/>
          <w:szCs w:val="32"/>
          <w:lang w:val="en-US" w:eastAsia="zh-CN"/>
          <w14:textFill>
            <w14:solidFill>
              <w14:schemeClr w14:val="tx1"/>
            </w14:solidFill>
          </w14:textFill>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color w:val="000000" w:themeColor="text1"/>
          <w:sz w:val="48"/>
          <w:szCs w:val="48"/>
          <w:lang w:val="en-US" w:eastAsia="zh-CN"/>
          <w14:textFill>
            <w14:solidFill>
              <w14:schemeClr w14:val="tx1"/>
            </w14:solidFill>
          </w14:textFill>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color w:val="000000" w:themeColor="text1"/>
          <w:sz w:val="48"/>
          <w:szCs w:val="48"/>
          <w:lang w:val="en-US" w:eastAsia="zh-CN"/>
          <w14:textFill>
            <w14:solidFill>
              <w14:schemeClr w14:val="tx1"/>
            </w14:solidFill>
          </w14:textFill>
        </w:rPr>
      </w:pPr>
      <w:r>
        <w:rPr>
          <w:rFonts w:hint="eastAsia" w:ascii="黑体" w:hAnsi="黑体" w:eastAsia="黑体" w:cs="黑体"/>
          <w:color w:val="000000" w:themeColor="text1"/>
          <w:sz w:val="48"/>
          <w:szCs w:val="48"/>
          <w:lang w:val="en-US" w:eastAsia="zh-CN"/>
          <w14:textFill>
            <w14:solidFill>
              <w14:schemeClr w14:val="tx1"/>
            </w14:solidFill>
          </w14:textFill>
        </w:rPr>
        <w:t>第一部分  中共郸城县纪律检查委员会概况</w:t>
      </w: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color w:val="000000" w:themeColor="text1"/>
          <w:kern w:val="0"/>
          <w:sz w:val="32"/>
          <w:szCs w:val="32"/>
          <w:lang w:val="en-US" w:eastAsia="zh-CN"/>
          <w14:textFill>
            <w14:solidFill>
              <w14:schemeClr w14:val="tx1"/>
            </w14:solidFill>
          </w14:textFill>
        </w:rPr>
      </w:pP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color w:val="000000" w:themeColor="text1"/>
          <w:kern w:val="0"/>
          <w:sz w:val="32"/>
          <w:szCs w:val="32"/>
          <w:lang w:val="en-US" w:eastAsia="zh-CN"/>
          <w14:textFill>
            <w14:solidFill>
              <w14:schemeClr w14:val="tx1"/>
            </w14:solidFill>
          </w14:textFill>
        </w:rPr>
      </w:pPr>
      <w:r>
        <w:rPr>
          <w:rFonts w:hint="eastAsia" w:ascii="黑体" w:hAnsi="黑体" w:eastAsia="黑体" w:cs="黑体"/>
          <w:color w:val="000000" w:themeColor="text1"/>
          <w:kern w:val="0"/>
          <w:sz w:val="32"/>
          <w:szCs w:val="32"/>
          <w:lang w:val="en-US" w:eastAsia="zh-CN"/>
          <w14:textFill>
            <w14:solidFill>
              <w14:schemeClr w14:val="tx1"/>
            </w14:solidFill>
          </w14:textFill>
        </w:rPr>
        <w:t>一、部门职责</w:t>
      </w:r>
    </w:p>
    <w:p>
      <w:pPr>
        <w:keepNext w:val="0"/>
        <w:keepLines w:val="0"/>
        <w:pageBreakBefore w:val="0"/>
        <w:widowControl/>
        <w:kinsoku/>
        <w:wordWrap w:val="0"/>
        <w:overflowPunct/>
        <w:topLinePunct w:val="0"/>
        <w:autoSpaceDE/>
        <w:autoSpaceDN/>
        <w:bidi w:val="0"/>
        <w:jc w:val="left"/>
        <w:rPr>
          <w:rFonts w:hint="eastAsia" w:ascii="仿宋_GB2312" w:hAnsi="仿宋_GB2312" w:eastAsia="仿宋_GB2312" w:cs="仿宋_GB2312"/>
          <w:color w:val="000000" w:themeColor="text1"/>
          <w:kern w:val="0"/>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kern w:val="0"/>
          <w:sz w:val="32"/>
          <w:szCs w:val="32"/>
          <w:lang w:val="en-US" w:eastAsia="zh-CN"/>
          <w14:textFill>
            <w14:solidFill>
              <w14:schemeClr w14:val="tx1"/>
            </w14:solidFill>
          </w14:textFill>
        </w:rPr>
        <w:t xml:space="preserve">    此项内容涉密，按规定不予公开。</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color w:val="000000" w:themeColor="text1"/>
          <w:kern w:val="0"/>
          <w:sz w:val="32"/>
          <w:szCs w:val="32"/>
          <w:lang w:val="en-US" w:eastAsia="zh-CN"/>
          <w14:textFill>
            <w14:solidFill>
              <w14:schemeClr w14:val="tx1"/>
            </w14:solidFill>
          </w14:textFill>
        </w:rPr>
      </w:pPr>
      <w:r>
        <w:rPr>
          <w:rFonts w:hint="eastAsia" w:ascii="黑体" w:hAnsi="黑体" w:eastAsia="黑体" w:cs="黑体"/>
          <w:color w:val="000000" w:themeColor="text1"/>
          <w:kern w:val="0"/>
          <w:sz w:val="32"/>
          <w:szCs w:val="32"/>
          <w:lang w:val="en-US" w:eastAsia="zh-CN"/>
          <w14:textFill>
            <w14:solidFill>
              <w14:schemeClr w14:val="tx1"/>
            </w14:solidFill>
          </w14:textFill>
        </w:rPr>
        <w:t>二、机构设置</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color w:val="000000" w:themeColor="text1"/>
          <w:kern w:val="0"/>
          <w:sz w:val="32"/>
          <w:szCs w:val="32"/>
          <w:lang w:val="en-US" w:eastAsia="zh-CN"/>
          <w14:textFill>
            <w14:solidFill>
              <w14:schemeClr w14:val="tx1"/>
            </w14:solidFill>
          </w14:textFill>
        </w:rPr>
      </w:pPr>
      <w:r>
        <w:rPr>
          <w:rFonts w:hint="eastAsia" w:ascii="仿宋" w:hAnsi="仿宋" w:eastAsia="仿宋" w:cs="仿宋"/>
          <w:color w:val="000000" w:themeColor="text1"/>
          <w:kern w:val="0"/>
          <w:sz w:val="32"/>
          <w:szCs w:val="32"/>
          <w:lang w:val="en-US" w:eastAsia="zh-CN"/>
          <w14:textFill>
            <w14:solidFill>
              <w14:schemeClr w14:val="tx1"/>
            </w14:solidFill>
          </w14:textFill>
        </w:rPr>
        <w:t>中共郸城县纪律检查委员会内设机构</w:t>
      </w:r>
      <w:r>
        <w:rPr>
          <w:rFonts w:hint="eastAsia" w:ascii="仿宋_GB2312" w:hAnsi="宋体" w:eastAsia="仿宋_GB2312" w:cs="Courier New"/>
          <w:color w:val="000000" w:themeColor="text1"/>
          <w:kern w:val="0"/>
          <w:sz w:val="32"/>
          <w:szCs w:val="32"/>
          <w:lang w:val="en-US" w:eastAsia="zh-CN"/>
          <w14:textFill>
            <w14:solidFill>
              <w14:schemeClr w14:val="tx1"/>
            </w14:solidFill>
          </w14:textFill>
        </w:rPr>
        <w:t>此项内容涉密，按规定不予公开。</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color w:val="000000" w:themeColor="text1"/>
          <w:kern w:val="0"/>
          <w:sz w:val="32"/>
          <w:szCs w:val="32"/>
          <w:lang w:val="en-US" w:eastAsia="zh-CN"/>
          <w14:textFill>
            <w14:solidFill>
              <w14:schemeClr w14:val="tx1"/>
            </w14:solidFill>
          </w14:textFill>
        </w:rPr>
      </w:pPr>
      <w:r>
        <w:rPr>
          <w:rFonts w:hint="eastAsia" w:ascii="仿宋" w:hAnsi="仿宋" w:eastAsia="仿宋" w:cs="仿宋"/>
          <w:color w:val="000000" w:themeColor="text1"/>
          <w:kern w:val="0"/>
          <w:sz w:val="32"/>
          <w:szCs w:val="32"/>
          <w:lang w:val="en-US" w:eastAsia="zh-CN"/>
          <w14:textFill>
            <w14:solidFill>
              <w14:schemeClr w14:val="tx1"/>
            </w14:solidFill>
          </w14:textFill>
        </w:rPr>
        <w:t>从决算单位构成看，中共郸城县纪律检查委员会部门决算为本级决算。</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color w:val="000000" w:themeColor="text1"/>
          <w:kern w:val="0"/>
          <w:sz w:val="32"/>
          <w:szCs w:val="32"/>
          <w:lang w:val="en-US" w:eastAsia="zh-CN"/>
          <w14:textFill>
            <w14:solidFill>
              <w14:schemeClr w14:val="tx1"/>
            </w14:solidFill>
          </w14:textFill>
        </w:rPr>
      </w:pPr>
      <w:r>
        <w:rPr>
          <w:rFonts w:hint="eastAsia" w:ascii="仿宋" w:hAnsi="仿宋" w:eastAsia="仿宋" w:cs="仿宋"/>
          <w:color w:val="000000" w:themeColor="text1"/>
          <w:kern w:val="0"/>
          <w:sz w:val="32"/>
          <w:szCs w:val="32"/>
          <w:lang w:val="en-US" w:eastAsia="zh-CN"/>
          <w14:textFill>
            <w14:solidFill>
              <w14:schemeClr w14:val="tx1"/>
            </w14:solidFill>
          </w14:textFill>
        </w:rPr>
        <w:t>纳入本部门2024年度部门决算编制范围的单位共一个：</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default" w:ascii="仿宋" w:hAnsi="仿宋" w:eastAsia="仿宋" w:cs="仿宋"/>
          <w:color w:val="000000" w:themeColor="text1"/>
          <w:kern w:val="0"/>
          <w:sz w:val="32"/>
          <w:szCs w:val="32"/>
          <w:lang w:val="en-US" w:eastAsia="zh-CN"/>
          <w14:textFill>
            <w14:solidFill>
              <w14:schemeClr w14:val="tx1"/>
            </w14:solidFill>
          </w14:textFill>
        </w:rPr>
      </w:pPr>
      <w:r>
        <w:rPr>
          <w:rFonts w:hint="eastAsia" w:ascii="仿宋" w:hAnsi="仿宋" w:eastAsia="仿宋" w:cs="仿宋"/>
          <w:color w:val="000000" w:themeColor="text1"/>
          <w:kern w:val="0"/>
          <w:sz w:val="32"/>
          <w:szCs w:val="32"/>
          <w:lang w:val="en-US" w:eastAsia="zh-CN"/>
          <w14:textFill>
            <w14:solidFill>
              <w14:schemeClr w14:val="tx1"/>
            </w14:solidFill>
          </w14:textFill>
        </w:rPr>
        <w:t>中共郸城县纪律检查委员会本级，无二级决算单位。</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default" w:ascii="仿宋" w:hAnsi="仿宋" w:eastAsia="仿宋" w:cs="仿宋"/>
          <w:color w:val="000000" w:themeColor="text1"/>
          <w:kern w:val="0"/>
          <w:sz w:val="32"/>
          <w:szCs w:val="32"/>
          <w:lang w:val="en-US" w:eastAsia="zh-CN"/>
          <w14:textFill>
            <w14:solidFill>
              <w14:schemeClr w14:val="tx1"/>
            </w14:solidFill>
          </w14:textFill>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黑体" w:hAnsi="宋体" w:eastAsia="黑体" w:cs="宋体"/>
          <w:color w:val="000000" w:themeColor="text1"/>
          <w:kern w:val="0"/>
          <w:sz w:val="28"/>
          <w:szCs w:val="28"/>
          <w:lang w:val="en-US" w:eastAsia="zh-CN"/>
          <w14:textFill>
            <w14:solidFill>
              <w14:schemeClr w14:val="tx1"/>
            </w14:solidFill>
          </w14:textFill>
        </w:rPr>
      </w:pPr>
      <w:r>
        <w:rPr>
          <w:rFonts w:hint="eastAsia" w:ascii="仿宋" w:hAnsi="仿宋" w:eastAsia="仿宋" w:cs="仿宋"/>
          <w:color w:val="000000" w:themeColor="text1"/>
          <w:kern w:val="0"/>
          <w:sz w:val="32"/>
          <w:szCs w:val="32"/>
          <w:lang w:val="en-US" w:eastAsia="zh-CN"/>
          <w14:textFill>
            <w14:solidFill>
              <w14:schemeClr w14:val="tx1"/>
            </w14:solidFill>
          </w14:textFill>
        </w:rPr>
        <w:br w:type="page"/>
      </w:r>
    </w:p>
    <w:p>
      <w:pPr>
        <w:keepNext w:val="0"/>
        <w:keepLines w:val="0"/>
        <w:pageBreakBefore w:val="0"/>
        <w:widowControl/>
        <w:kinsoku/>
        <w:wordWrap w:val="0"/>
        <w:overflowPunct/>
        <w:topLinePunct w:val="0"/>
        <w:autoSpaceDE/>
        <w:autoSpaceDN/>
        <w:bidi w:val="0"/>
        <w:jc w:val="left"/>
        <w:rPr>
          <w:rFonts w:hint="eastAsia" w:ascii="黑体" w:hAnsi="宋体" w:eastAsia="黑体" w:cs="宋体"/>
          <w:color w:val="000000" w:themeColor="text1"/>
          <w:kern w:val="0"/>
          <w:sz w:val="28"/>
          <w:szCs w:val="28"/>
          <w:lang w:val="en-US" w:eastAsia="zh-CN"/>
          <w14:textFill>
            <w14:solidFill>
              <w14:schemeClr w14:val="tx1"/>
            </w14:solidFill>
          </w14:textFill>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color w:val="000000" w:themeColor="text1"/>
          <w:kern w:val="0"/>
          <w:sz w:val="28"/>
          <w:szCs w:val="28"/>
          <w:lang w:val="en-US" w:eastAsia="zh-CN"/>
          <w14:textFill>
            <w14:solidFill>
              <w14:schemeClr w14:val="tx1"/>
            </w14:solidFill>
          </w14:textFill>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color w:val="000000" w:themeColor="text1"/>
          <w:sz w:val="48"/>
          <w:szCs w:val="48"/>
          <w:lang w:val="en-US" w:eastAsia="zh-CN"/>
          <w14:textFill>
            <w14:solidFill>
              <w14:schemeClr w14:val="tx1"/>
            </w14:solidFill>
          </w14:textFill>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color w:val="000000" w:themeColor="text1"/>
          <w:sz w:val="48"/>
          <w:szCs w:val="48"/>
          <w:lang w:val="en-US" w:eastAsia="zh-CN"/>
          <w14:textFill>
            <w14:solidFill>
              <w14:schemeClr w14:val="tx1"/>
            </w14:solidFill>
          </w14:textFill>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color w:val="000000" w:themeColor="text1"/>
          <w:sz w:val="48"/>
          <w:szCs w:val="48"/>
          <w:lang w:val="en-US" w:eastAsia="zh-CN"/>
          <w14:textFill>
            <w14:solidFill>
              <w14:schemeClr w14:val="tx1"/>
            </w14:solidFill>
          </w14:textFill>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color w:val="000000" w:themeColor="text1"/>
          <w:sz w:val="48"/>
          <w:szCs w:val="48"/>
          <w:lang w:val="en-US" w:eastAsia="zh-CN"/>
          <w14:textFill>
            <w14:solidFill>
              <w14:schemeClr w14:val="tx1"/>
            </w14:solidFill>
          </w14:textFill>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color w:val="000000" w:themeColor="text1"/>
          <w:sz w:val="48"/>
          <w:szCs w:val="48"/>
          <w:lang w:val="en-US" w:eastAsia="zh-CN"/>
          <w14:textFill>
            <w14:solidFill>
              <w14:schemeClr w14:val="tx1"/>
            </w14:solidFill>
          </w14:textFill>
        </w:rPr>
      </w:pPr>
      <w:r>
        <w:rPr>
          <w:rFonts w:hint="eastAsia" w:ascii="黑体" w:hAnsi="黑体" w:eastAsia="黑体" w:cs="黑体"/>
          <w:color w:val="000000" w:themeColor="text1"/>
          <w:sz w:val="48"/>
          <w:szCs w:val="48"/>
          <w:lang w:val="en-US" w:eastAsia="zh-CN"/>
          <w14:textFill>
            <w14:solidFill>
              <w14:schemeClr w14:val="tx1"/>
            </w14:solidFill>
          </w14:textFill>
        </w:rPr>
        <w:t>第二部分  2024年度部门决算表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color w:val="000000" w:themeColor="text1"/>
          <w:kern w:val="0"/>
          <w:sz w:val="28"/>
          <w:szCs w:val="28"/>
          <w:lang w:val="en-US" w:eastAsia="zh-CN"/>
          <w14:textFill>
            <w14:solidFill>
              <w14:schemeClr w14:val="tx1"/>
            </w14:solidFill>
          </w14:textFill>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color w:val="000000" w:themeColor="text1"/>
          <w:kern w:val="0"/>
          <w:sz w:val="28"/>
          <w:szCs w:val="28"/>
          <w:lang w:val="en-US" w:eastAsia="zh-CN"/>
          <w14:textFill>
            <w14:solidFill>
              <w14:schemeClr w14:val="tx1"/>
            </w14:solidFill>
          </w14:textFill>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themeColor="text1"/>
          <w:kern w:val="0"/>
          <w:sz w:val="20"/>
          <w:szCs w:val="20"/>
          <w:lang w:val="en-US" w:eastAsia="zh-CN"/>
          <w14:textFill>
            <w14:solidFill>
              <w14:schemeClr w14:val="tx1"/>
            </w14:solidFill>
          </w14:textFill>
        </w:rPr>
      </w:pPr>
      <w:r>
        <w:rPr>
          <w:rFonts w:hint="eastAsia" w:ascii="华文中宋" w:hAnsi="华文中宋" w:eastAsia="华文中宋" w:cs="华文中宋"/>
          <w:color w:val="000000" w:themeColor="text1"/>
          <w:kern w:val="0"/>
          <w:sz w:val="32"/>
          <w:szCs w:val="32"/>
          <w:lang w:val="en-US" w:eastAsia="zh-CN"/>
          <w14:textFill>
            <w14:solidFill>
              <w14:schemeClr w14:val="tx1"/>
            </w14:solidFill>
          </w14:textFill>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rPr>
                <w:color w:val="000000" w:themeColor="text1"/>
                <w:sz w:val="18"/>
                <w:szCs w:val="18"/>
                <w14:textFill>
                  <w14:solidFill>
                    <w14:schemeClr w14:val="tx1"/>
                  </w14:solidFill>
                </w14:textFill>
              </w:rPr>
            </w:pPr>
            <w:r>
              <w:rPr>
                <w:rFonts w:ascii="宋体" w:hAnsi="宋体" w:eastAsia="宋体" w:cs="宋体"/>
                <w:color w:val="000000" w:themeColor="text1"/>
                <w:sz w:val="18"/>
                <w:szCs w:val="18"/>
                <w14:textFill>
                  <w14:solidFill>
                    <w14:schemeClr w14:val="tx1"/>
                  </w14:solidFill>
                </w14:textFill>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rPr>
                <w:color w:val="000000" w:themeColor="text1"/>
                <w:sz w:val="18"/>
                <w:szCs w:val="18"/>
                <w14:textFill>
                  <w14:solidFill>
                    <w14:schemeClr w14:val="tx1"/>
                  </w14:solidFill>
                </w14:textFill>
              </w:rPr>
            </w:pPr>
            <w:r>
              <w:rPr>
                <w:rFonts w:ascii="宋体" w:hAnsi="宋体" w:eastAsia="宋体" w:cs="宋体"/>
                <w:color w:val="000000" w:themeColor="text1"/>
                <w:sz w:val="18"/>
                <w:szCs w:val="18"/>
                <w14:textFill>
                  <w14:solidFill>
                    <w14:schemeClr w14:val="tx1"/>
                  </w14:solidFill>
                </w14:textFill>
              </w:rPr>
              <w:t>部门：中共郸城县纪律检查委员会</w:t>
            </w:r>
          </w:p>
        </w:tc>
        <w:tc>
          <w:tcPr>
            <w:tcW w:w="2000" w:type="dxa"/>
          </w:tcPr>
          <w:p>
            <w:pPr>
              <w:jc w:val="center"/>
              <w:rPr>
                <w:color w:val="000000" w:themeColor="text1"/>
                <w:sz w:val="18"/>
                <w:szCs w:val="18"/>
                <w14:textFill>
                  <w14:solidFill>
                    <w14:schemeClr w14:val="tx1"/>
                  </w14:solidFill>
                </w14:textFill>
              </w:rPr>
            </w:pPr>
            <w:r>
              <w:rPr>
                <w:rFonts w:ascii="宋体" w:hAnsi="宋体" w:eastAsia="宋体" w:cs="宋体"/>
                <w:color w:val="000000" w:themeColor="text1"/>
                <w:sz w:val="18"/>
                <w:szCs w:val="18"/>
                <w14:textFill>
                  <w14:solidFill>
                    <w14:schemeClr w14:val="tx1"/>
                  </w14:solidFill>
                </w14:textFill>
              </w:rPr>
              <w:t>2024年度</w:t>
            </w:r>
          </w:p>
        </w:tc>
        <w:tc>
          <w:tcPr>
            <w:tcW w:w="5412" w:type="dxa"/>
          </w:tcPr>
          <w:p>
            <w:pPr>
              <w:jc w:val="right"/>
              <w:rPr>
                <w:rFonts w:hint="eastAsia" w:eastAsia="宋体"/>
                <w:color w:val="000000" w:themeColor="text1"/>
                <w:sz w:val="18"/>
                <w:szCs w:val="18"/>
                <w:lang w:eastAsia="zh-CN"/>
                <w14:textFill>
                  <w14:solidFill>
                    <w14:schemeClr w14:val="tx1"/>
                  </w14:solidFill>
                </w14:textFill>
              </w:rPr>
            </w:pPr>
            <w:r>
              <w:rPr>
                <w:rFonts w:hint="eastAsia" w:ascii="宋体" w:hAnsi="宋体" w:cs="宋体"/>
                <w:color w:val="000000" w:themeColor="text1"/>
                <w:sz w:val="18"/>
                <w:szCs w:val="18"/>
                <w:lang w:eastAsia="zh-CN"/>
                <w14:textFill>
                  <w14:solidFill>
                    <w14:schemeClr w14:val="tx1"/>
                  </w14:solidFill>
                </w14:textFill>
              </w:rPr>
              <w:t>金额单位：万元</w:t>
            </w:r>
          </w:p>
        </w:tc>
      </w:tr>
    </w:tbl>
    <w:p>
      <w:pPr>
        <w:snapToGrid w:val="0"/>
        <w:spacing w:before="0" w:after="0" w:line="0" w:lineRule="auto"/>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6420" w:type="dxa"/>
            <w:gridSpan w:val="3"/>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收入</w:t>
            </w:r>
          </w:p>
        </w:tc>
        <w:tc>
          <w:tcPr>
            <w:tcW w:w="6404" w:type="dxa"/>
            <w:gridSpan w:val="3"/>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项目</w:t>
            </w:r>
          </w:p>
        </w:tc>
        <w:tc>
          <w:tcPr>
            <w:tcW w:w="5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行次</w:t>
            </w:r>
          </w:p>
        </w:tc>
        <w:tc>
          <w:tcPr>
            <w:tcW w:w="250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金额</w:t>
            </w:r>
          </w:p>
        </w:tc>
        <w:tc>
          <w:tcPr>
            <w:tcW w:w="334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项目</w:t>
            </w:r>
          </w:p>
        </w:tc>
        <w:tc>
          <w:tcPr>
            <w:tcW w:w="5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行次</w:t>
            </w:r>
          </w:p>
        </w:tc>
        <w:tc>
          <w:tcPr>
            <w:tcW w:w="2484"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金额</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栏次</w:t>
            </w:r>
          </w:p>
        </w:tc>
        <w:tc>
          <w:tcPr>
            <w:tcW w:w="580" w:type="dxa"/>
            <w:vAlign w:val="center"/>
          </w:tcPr>
          <w:p>
            <w:pPr>
              <w:rPr>
                <w:color w:val="000000" w:themeColor="text1"/>
                <w:sz w:val="18"/>
                <w:szCs w:val="18"/>
                <w14:textFill>
                  <w14:solidFill>
                    <w14:schemeClr w14:val="tx1"/>
                  </w14:solidFill>
                </w14:textFill>
              </w:rPr>
            </w:pPr>
          </w:p>
        </w:tc>
        <w:tc>
          <w:tcPr>
            <w:tcW w:w="250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w:t>
            </w:r>
          </w:p>
        </w:tc>
        <w:tc>
          <w:tcPr>
            <w:tcW w:w="334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栏次</w:t>
            </w:r>
          </w:p>
        </w:tc>
        <w:tc>
          <w:tcPr>
            <w:tcW w:w="580" w:type="dxa"/>
            <w:vAlign w:val="center"/>
          </w:tcPr>
          <w:p>
            <w:pPr>
              <w:rPr>
                <w:color w:val="000000" w:themeColor="text1"/>
                <w:sz w:val="18"/>
                <w:szCs w:val="18"/>
                <w14:textFill>
                  <w14:solidFill>
                    <w14:schemeClr w14:val="tx1"/>
                  </w14:solidFill>
                </w14:textFill>
              </w:rPr>
            </w:pPr>
          </w:p>
        </w:tc>
        <w:tc>
          <w:tcPr>
            <w:tcW w:w="2484"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一、一般公共预算财政拨款收入</w:t>
            </w:r>
          </w:p>
        </w:tc>
        <w:tc>
          <w:tcPr>
            <w:tcW w:w="5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w:t>
            </w:r>
          </w:p>
        </w:tc>
        <w:tc>
          <w:tcPr>
            <w:tcW w:w="25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2,501.75</w:t>
            </w:r>
          </w:p>
        </w:tc>
        <w:tc>
          <w:tcPr>
            <w:tcW w:w="334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一、一般公共服务支出</w:t>
            </w:r>
          </w:p>
        </w:tc>
        <w:tc>
          <w:tcPr>
            <w:tcW w:w="5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31</w:t>
            </w:r>
          </w:p>
        </w:tc>
        <w:tc>
          <w:tcPr>
            <w:tcW w:w="248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2,206.17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二、政府性基金预算财政拨款收入</w:t>
            </w:r>
          </w:p>
        </w:tc>
        <w:tc>
          <w:tcPr>
            <w:tcW w:w="5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w:t>
            </w:r>
          </w:p>
        </w:tc>
        <w:tc>
          <w:tcPr>
            <w:tcW w:w="25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334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二、外交支出</w:t>
            </w:r>
          </w:p>
        </w:tc>
        <w:tc>
          <w:tcPr>
            <w:tcW w:w="5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32</w:t>
            </w:r>
          </w:p>
        </w:tc>
        <w:tc>
          <w:tcPr>
            <w:tcW w:w="248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三、国有资本经营预算财政拨款收入</w:t>
            </w:r>
          </w:p>
        </w:tc>
        <w:tc>
          <w:tcPr>
            <w:tcW w:w="5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w:t>
            </w:r>
          </w:p>
        </w:tc>
        <w:tc>
          <w:tcPr>
            <w:tcW w:w="25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334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三、国防支出</w:t>
            </w:r>
          </w:p>
        </w:tc>
        <w:tc>
          <w:tcPr>
            <w:tcW w:w="5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33</w:t>
            </w:r>
          </w:p>
        </w:tc>
        <w:tc>
          <w:tcPr>
            <w:tcW w:w="248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四、上级补助收入</w:t>
            </w:r>
          </w:p>
        </w:tc>
        <w:tc>
          <w:tcPr>
            <w:tcW w:w="5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4</w:t>
            </w:r>
          </w:p>
        </w:tc>
        <w:tc>
          <w:tcPr>
            <w:tcW w:w="25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334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四、公共安全支出</w:t>
            </w:r>
          </w:p>
        </w:tc>
        <w:tc>
          <w:tcPr>
            <w:tcW w:w="5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34</w:t>
            </w:r>
          </w:p>
        </w:tc>
        <w:tc>
          <w:tcPr>
            <w:tcW w:w="248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五、事业收入</w:t>
            </w:r>
          </w:p>
        </w:tc>
        <w:tc>
          <w:tcPr>
            <w:tcW w:w="5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5</w:t>
            </w:r>
          </w:p>
        </w:tc>
        <w:tc>
          <w:tcPr>
            <w:tcW w:w="25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334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五、教育支出</w:t>
            </w:r>
          </w:p>
        </w:tc>
        <w:tc>
          <w:tcPr>
            <w:tcW w:w="5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35</w:t>
            </w:r>
          </w:p>
        </w:tc>
        <w:tc>
          <w:tcPr>
            <w:tcW w:w="248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六、经营收入</w:t>
            </w:r>
          </w:p>
        </w:tc>
        <w:tc>
          <w:tcPr>
            <w:tcW w:w="5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6</w:t>
            </w:r>
          </w:p>
        </w:tc>
        <w:tc>
          <w:tcPr>
            <w:tcW w:w="25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334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六、科学技术支出</w:t>
            </w:r>
          </w:p>
        </w:tc>
        <w:tc>
          <w:tcPr>
            <w:tcW w:w="5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36</w:t>
            </w:r>
          </w:p>
        </w:tc>
        <w:tc>
          <w:tcPr>
            <w:tcW w:w="248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七、附属单位上缴收入</w:t>
            </w:r>
          </w:p>
        </w:tc>
        <w:tc>
          <w:tcPr>
            <w:tcW w:w="5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7</w:t>
            </w:r>
          </w:p>
        </w:tc>
        <w:tc>
          <w:tcPr>
            <w:tcW w:w="25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334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七、文化旅游体育与传媒支出</w:t>
            </w:r>
          </w:p>
        </w:tc>
        <w:tc>
          <w:tcPr>
            <w:tcW w:w="5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37</w:t>
            </w:r>
          </w:p>
        </w:tc>
        <w:tc>
          <w:tcPr>
            <w:tcW w:w="248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八、其他收入</w:t>
            </w:r>
          </w:p>
        </w:tc>
        <w:tc>
          <w:tcPr>
            <w:tcW w:w="5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8</w:t>
            </w:r>
          </w:p>
        </w:tc>
        <w:tc>
          <w:tcPr>
            <w:tcW w:w="25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334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八、社会保障和就业支出</w:t>
            </w:r>
          </w:p>
        </w:tc>
        <w:tc>
          <w:tcPr>
            <w:tcW w:w="5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38</w:t>
            </w:r>
          </w:p>
        </w:tc>
        <w:tc>
          <w:tcPr>
            <w:tcW w:w="248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146.66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color w:val="000000" w:themeColor="text1"/>
                <w:sz w:val="18"/>
                <w:szCs w:val="18"/>
                <w14:textFill>
                  <w14:solidFill>
                    <w14:schemeClr w14:val="tx1"/>
                  </w14:solidFill>
                </w14:textFill>
              </w:rPr>
            </w:pPr>
          </w:p>
        </w:tc>
        <w:tc>
          <w:tcPr>
            <w:tcW w:w="5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9</w:t>
            </w:r>
          </w:p>
        </w:tc>
        <w:tc>
          <w:tcPr>
            <w:tcW w:w="2500" w:type="dxa"/>
            <w:vAlign w:val="center"/>
          </w:tcPr>
          <w:p>
            <w:pPr>
              <w:rPr>
                <w:color w:val="000000" w:themeColor="text1"/>
                <w:sz w:val="18"/>
                <w:szCs w:val="18"/>
                <w14:textFill>
                  <w14:solidFill>
                    <w14:schemeClr w14:val="tx1"/>
                  </w14:solidFill>
                </w14:textFill>
              </w:rPr>
            </w:pPr>
          </w:p>
        </w:tc>
        <w:tc>
          <w:tcPr>
            <w:tcW w:w="334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九、卫生健康支出</w:t>
            </w:r>
          </w:p>
        </w:tc>
        <w:tc>
          <w:tcPr>
            <w:tcW w:w="5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39</w:t>
            </w:r>
          </w:p>
        </w:tc>
        <w:tc>
          <w:tcPr>
            <w:tcW w:w="248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71.72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color w:val="000000" w:themeColor="text1"/>
                <w:sz w:val="18"/>
                <w:szCs w:val="18"/>
                <w14:textFill>
                  <w14:solidFill>
                    <w14:schemeClr w14:val="tx1"/>
                  </w14:solidFill>
                </w14:textFill>
              </w:rPr>
            </w:pPr>
          </w:p>
        </w:tc>
        <w:tc>
          <w:tcPr>
            <w:tcW w:w="5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10</w:t>
            </w:r>
          </w:p>
        </w:tc>
        <w:tc>
          <w:tcPr>
            <w:tcW w:w="2500" w:type="dxa"/>
            <w:vAlign w:val="center"/>
          </w:tcPr>
          <w:p>
            <w:pPr>
              <w:rPr>
                <w:color w:val="000000" w:themeColor="text1"/>
                <w:sz w:val="18"/>
                <w:szCs w:val="18"/>
                <w14:textFill>
                  <w14:solidFill>
                    <w14:schemeClr w14:val="tx1"/>
                  </w14:solidFill>
                </w14:textFill>
              </w:rPr>
            </w:pPr>
          </w:p>
        </w:tc>
        <w:tc>
          <w:tcPr>
            <w:tcW w:w="334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十、节能环保支出</w:t>
            </w:r>
          </w:p>
        </w:tc>
        <w:tc>
          <w:tcPr>
            <w:tcW w:w="5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40</w:t>
            </w:r>
          </w:p>
        </w:tc>
        <w:tc>
          <w:tcPr>
            <w:tcW w:w="248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color w:val="000000" w:themeColor="text1"/>
                <w:sz w:val="18"/>
                <w:szCs w:val="18"/>
                <w14:textFill>
                  <w14:solidFill>
                    <w14:schemeClr w14:val="tx1"/>
                  </w14:solidFill>
                </w14:textFill>
              </w:rPr>
            </w:pPr>
          </w:p>
        </w:tc>
        <w:tc>
          <w:tcPr>
            <w:tcW w:w="5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11</w:t>
            </w:r>
          </w:p>
        </w:tc>
        <w:tc>
          <w:tcPr>
            <w:tcW w:w="2500" w:type="dxa"/>
            <w:vAlign w:val="center"/>
          </w:tcPr>
          <w:p>
            <w:pPr>
              <w:rPr>
                <w:color w:val="000000" w:themeColor="text1"/>
                <w:sz w:val="18"/>
                <w:szCs w:val="18"/>
                <w14:textFill>
                  <w14:solidFill>
                    <w14:schemeClr w14:val="tx1"/>
                  </w14:solidFill>
                </w14:textFill>
              </w:rPr>
            </w:pPr>
          </w:p>
        </w:tc>
        <w:tc>
          <w:tcPr>
            <w:tcW w:w="334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十一、城乡社区支出</w:t>
            </w:r>
          </w:p>
        </w:tc>
        <w:tc>
          <w:tcPr>
            <w:tcW w:w="5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41</w:t>
            </w:r>
          </w:p>
        </w:tc>
        <w:tc>
          <w:tcPr>
            <w:tcW w:w="248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color w:val="000000" w:themeColor="text1"/>
                <w:sz w:val="18"/>
                <w:szCs w:val="18"/>
                <w14:textFill>
                  <w14:solidFill>
                    <w14:schemeClr w14:val="tx1"/>
                  </w14:solidFill>
                </w14:textFill>
              </w:rPr>
            </w:pPr>
          </w:p>
        </w:tc>
        <w:tc>
          <w:tcPr>
            <w:tcW w:w="5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12</w:t>
            </w:r>
          </w:p>
        </w:tc>
        <w:tc>
          <w:tcPr>
            <w:tcW w:w="2500" w:type="dxa"/>
            <w:vAlign w:val="center"/>
          </w:tcPr>
          <w:p>
            <w:pPr>
              <w:rPr>
                <w:color w:val="000000" w:themeColor="text1"/>
                <w:sz w:val="18"/>
                <w:szCs w:val="18"/>
                <w14:textFill>
                  <w14:solidFill>
                    <w14:schemeClr w14:val="tx1"/>
                  </w14:solidFill>
                </w14:textFill>
              </w:rPr>
            </w:pPr>
          </w:p>
        </w:tc>
        <w:tc>
          <w:tcPr>
            <w:tcW w:w="334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十二、农林水支出</w:t>
            </w:r>
          </w:p>
        </w:tc>
        <w:tc>
          <w:tcPr>
            <w:tcW w:w="5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42</w:t>
            </w:r>
          </w:p>
        </w:tc>
        <w:tc>
          <w:tcPr>
            <w:tcW w:w="248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color w:val="000000" w:themeColor="text1"/>
                <w:sz w:val="18"/>
                <w:szCs w:val="18"/>
                <w14:textFill>
                  <w14:solidFill>
                    <w14:schemeClr w14:val="tx1"/>
                  </w14:solidFill>
                </w14:textFill>
              </w:rPr>
            </w:pPr>
          </w:p>
        </w:tc>
        <w:tc>
          <w:tcPr>
            <w:tcW w:w="5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13</w:t>
            </w:r>
          </w:p>
        </w:tc>
        <w:tc>
          <w:tcPr>
            <w:tcW w:w="2500" w:type="dxa"/>
            <w:vAlign w:val="center"/>
          </w:tcPr>
          <w:p>
            <w:pPr>
              <w:rPr>
                <w:color w:val="000000" w:themeColor="text1"/>
                <w:sz w:val="18"/>
                <w:szCs w:val="18"/>
                <w14:textFill>
                  <w14:solidFill>
                    <w14:schemeClr w14:val="tx1"/>
                  </w14:solidFill>
                </w14:textFill>
              </w:rPr>
            </w:pPr>
          </w:p>
        </w:tc>
        <w:tc>
          <w:tcPr>
            <w:tcW w:w="334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十三、交通运输支出</w:t>
            </w:r>
          </w:p>
        </w:tc>
        <w:tc>
          <w:tcPr>
            <w:tcW w:w="5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43</w:t>
            </w:r>
          </w:p>
        </w:tc>
        <w:tc>
          <w:tcPr>
            <w:tcW w:w="248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color w:val="000000" w:themeColor="text1"/>
                <w:sz w:val="18"/>
                <w:szCs w:val="18"/>
                <w14:textFill>
                  <w14:solidFill>
                    <w14:schemeClr w14:val="tx1"/>
                  </w14:solidFill>
                </w14:textFill>
              </w:rPr>
            </w:pPr>
          </w:p>
        </w:tc>
        <w:tc>
          <w:tcPr>
            <w:tcW w:w="5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14</w:t>
            </w:r>
          </w:p>
        </w:tc>
        <w:tc>
          <w:tcPr>
            <w:tcW w:w="2500" w:type="dxa"/>
            <w:vAlign w:val="center"/>
          </w:tcPr>
          <w:p>
            <w:pPr>
              <w:rPr>
                <w:color w:val="000000" w:themeColor="text1"/>
                <w:sz w:val="18"/>
                <w:szCs w:val="18"/>
                <w14:textFill>
                  <w14:solidFill>
                    <w14:schemeClr w14:val="tx1"/>
                  </w14:solidFill>
                </w14:textFill>
              </w:rPr>
            </w:pPr>
          </w:p>
        </w:tc>
        <w:tc>
          <w:tcPr>
            <w:tcW w:w="334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十四、资源勘探工业信息等支出</w:t>
            </w:r>
          </w:p>
        </w:tc>
        <w:tc>
          <w:tcPr>
            <w:tcW w:w="5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44</w:t>
            </w:r>
          </w:p>
        </w:tc>
        <w:tc>
          <w:tcPr>
            <w:tcW w:w="248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color w:val="000000" w:themeColor="text1"/>
                <w:sz w:val="18"/>
                <w:szCs w:val="18"/>
                <w14:textFill>
                  <w14:solidFill>
                    <w14:schemeClr w14:val="tx1"/>
                  </w14:solidFill>
                </w14:textFill>
              </w:rPr>
            </w:pPr>
          </w:p>
        </w:tc>
        <w:tc>
          <w:tcPr>
            <w:tcW w:w="5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15</w:t>
            </w:r>
          </w:p>
        </w:tc>
        <w:tc>
          <w:tcPr>
            <w:tcW w:w="2500" w:type="dxa"/>
            <w:vAlign w:val="center"/>
          </w:tcPr>
          <w:p>
            <w:pPr>
              <w:rPr>
                <w:color w:val="000000" w:themeColor="text1"/>
                <w:sz w:val="18"/>
                <w:szCs w:val="18"/>
                <w14:textFill>
                  <w14:solidFill>
                    <w14:schemeClr w14:val="tx1"/>
                  </w14:solidFill>
                </w14:textFill>
              </w:rPr>
            </w:pPr>
          </w:p>
        </w:tc>
        <w:tc>
          <w:tcPr>
            <w:tcW w:w="334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十五、商业服务业等支出</w:t>
            </w:r>
          </w:p>
        </w:tc>
        <w:tc>
          <w:tcPr>
            <w:tcW w:w="5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45</w:t>
            </w:r>
          </w:p>
        </w:tc>
        <w:tc>
          <w:tcPr>
            <w:tcW w:w="248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color w:val="000000" w:themeColor="text1"/>
                <w:sz w:val="18"/>
                <w:szCs w:val="18"/>
                <w14:textFill>
                  <w14:solidFill>
                    <w14:schemeClr w14:val="tx1"/>
                  </w14:solidFill>
                </w14:textFill>
              </w:rPr>
            </w:pPr>
          </w:p>
        </w:tc>
        <w:tc>
          <w:tcPr>
            <w:tcW w:w="5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16</w:t>
            </w:r>
          </w:p>
        </w:tc>
        <w:tc>
          <w:tcPr>
            <w:tcW w:w="2500" w:type="dxa"/>
            <w:vAlign w:val="center"/>
          </w:tcPr>
          <w:p>
            <w:pPr>
              <w:rPr>
                <w:color w:val="000000" w:themeColor="text1"/>
                <w:sz w:val="18"/>
                <w:szCs w:val="18"/>
                <w14:textFill>
                  <w14:solidFill>
                    <w14:schemeClr w14:val="tx1"/>
                  </w14:solidFill>
                </w14:textFill>
              </w:rPr>
            </w:pPr>
          </w:p>
        </w:tc>
        <w:tc>
          <w:tcPr>
            <w:tcW w:w="334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十六、金融支出</w:t>
            </w:r>
          </w:p>
        </w:tc>
        <w:tc>
          <w:tcPr>
            <w:tcW w:w="5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46</w:t>
            </w:r>
          </w:p>
        </w:tc>
        <w:tc>
          <w:tcPr>
            <w:tcW w:w="248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color w:val="000000" w:themeColor="text1"/>
                <w:sz w:val="18"/>
                <w:szCs w:val="18"/>
                <w14:textFill>
                  <w14:solidFill>
                    <w14:schemeClr w14:val="tx1"/>
                  </w14:solidFill>
                </w14:textFill>
              </w:rPr>
            </w:pPr>
          </w:p>
        </w:tc>
        <w:tc>
          <w:tcPr>
            <w:tcW w:w="5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17</w:t>
            </w:r>
          </w:p>
        </w:tc>
        <w:tc>
          <w:tcPr>
            <w:tcW w:w="2500" w:type="dxa"/>
            <w:vAlign w:val="center"/>
          </w:tcPr>
          <w:p>
            <w:pPr>
              <w:rPr>
                <w:color w:val="000000" w:themeColor="text1"/>
                <w:sz w:val="18"/>
                <w:szCs w:val="18"/>
                <w14:textFill>
                  <w14:solidFill>
                    <w14:schemeClr w14:val="tx1"/>
                  </w14:solidFill>
                </w14:textFill>
              </w:rPr>
            </w:pPr>
          </w:p>
        </w:tc>
        <w:tc>
          <w:tcPr>
            <w:tcW w:w="334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十七、援助其他地区支出</w:t>
            </w:r>
          </w:p>
        </w:tc>
        <w:tc>
          <w:tcPr>
            <w:tcW w:w="5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47</w:t>
            </w:r>
          </w:p>
        </w:tc>
        <w:tc>
          <w:tcPr>
            <w:tcW w:w="248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color w:val="000000" w:themeColor="text1"/>
                <w:sz w:val="18"/>
                <w:szCs w:val="18"/>
                <w14:textFill>
                  <w14:solidFill>
                    <w14:schemeClr w14:val="tx1"/>
                  </w14:solidFill>
                </w14:textFill>
              </w:rPr>
            </w:pPr>
          </w:p>
        </w:tc>
        <w:tc>
          <w:tcPr>
            <w:tcW w:w="5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18</w:t>
            </w:r>
          </w:p>
        </w:tc>
        <w:tc>
          <w:tcPr>
            <w:tcW w:w="2500" w:type="dxa"/>
            <w:vAlign w:val="center"/>
          </w:tcPr>
          <w:p>
            <w:pPr>
              <w:rPr>
                <w:color w:val="000000" w:themeColor="text1"/>
                <w:sz w:val="18"/>
                <w:szCs w:val="18"/>
                <w14:textFill>
                  <w14:solidFill>
                    <w14:schemeClr w14:val="tx1"/>
                  </w14:solidFill>
                </w14:textFill>
              </w:rPr>
            </w:pPr>
          </w:p>
        </w:tc>
        <w:tc>
          <w:tcPr>
            <w:tcW w:w="334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十八、自然资源海洋气象等支出</w:t>
            </w:r>
          </w:p>
        </w:tc>
        <w:tc>
          <w:tcPr>
            <w:tcW w:w="5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48</w:t>
            </w:r>
          </w:p>
        </w:tc>
        <w:tc>
          <w:tcPr>
            <w:tcW w:w="248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color w:val="000000" w:themeColor="text1"/>
                <w:sz w:val="18"/>
                <w:szCs w:val="18"/>
                <w14:textFill>
                  <w14:solidFill>
                    <w14:schemeClr w14:val="tx1"/>
                  </w14:solidFill>
                </w14:textFill>
              </w:rPr>
            </w:pPr>
          </w:p>
        </w:tc>
        <w:tc>
          <w:tcPr>
            <w:tcW w:w="5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19</w:t>
            </w:r>
          </w:p>
        </w:tc>
        <w:tc>
          <w:tcPr>
            <w:tcW w:w="2500" w:type="dxa"/>
            <w:vAlign w:val="center"/>
          </w:tcPr>
          <w:p>
            <w:pPr>
              <w:rPr>
                <w:color w:val="000000" w:themeColor="text1"/>
                <w:sz w:val="18"/>
                <w:szCs w:val="18"/>
                <w14:textFill>
                  <w14:solidFill>
                    <w14:schemeClr w14:val="tx1"/>
                  </w14:solidFill>
                </w14:textFill>
              </w:rPr>
            </w:pPr>
          </w:p>
        </w:tc>
        <w:tc>
          <w:tcPr>
            <w:tcW w:w="334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十九、住房保障支出</w:t>
            </w:r>
          </w:p>
        </w:tc>
        <w:tc>
          <w:tcPr>
            <w:tcW w:w="5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49</w:t>
            </w:r>
          </w:p>
        </w:tc>
        <w:tc>
          <w:tcPr>
            <w:tcW w:w="248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77.20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color w:val="000000" w:themeColor="text1"/>
                <w:sz w:val="18"/>
                <w:szCs w:val="18"/>
                <w14:textFill>
                  <w14:solidFill>
                    <w14:schemeClr w14:val="tx1"/>
                  </w14:solidFill>
                </w14:textFill>
              </w:rPr>
            </w:pPr>
          </w:p>
        </w:tc>
        <w:tc>
          <w:tcPr>
            <w:tcW w:w="5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20</w:t>
            </w:r>
          </w:p>
        </w:tc>
        <w:tc>
          <w:tcPr>
            <w:tcW w:w="2500" w:type="dxa"/>
            <w:vAlign w:val="center"/>
          </w:tcPr>
          <w:p>
            <w:pPr>
              <w:rPr>
                <w:color w:val="000000" w:themeColor="text1"/>
                <w:sz w:val="18"/>
                <w:szCs w:val="18"/>
                <w14:textFill>
                  <w14:solidFill>
                    <w14:schemeClr w14:val="tx1"/>
                  </w14:solidFill>
                </w14:textFill>
              </w:rPr>
            </w:pPr>
          </w:p>
        </w:tc>
        <w:tc>
          <w:tcPr>
            <w:tcW w:w="334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二十、粮油物资储备支出</w:t>
            </w:r>
          </w:p>
        </w:tc>
        <w:tc>
          <w:tcPr>
            <w:tcW w:w="5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50</w:t>
            </w:r>
          </w:p>
        </w:tc>
        <w:tc>
          <w:tcPr>
            <w:tcW w:w="248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color w:val="000000" w:themeColor="text1"/>
                <w:sz w:val="18"/>
                <w:szCs w:val="18"/>
                <w14:textFill>
                  <w14:solidFill>
                    <w14:schemeClr w14:val="tx1"/>
                  </w14:solidFill>
                </w14:textFill>
              </w:rPr>
            </w:pPr>
          </w:p>
        </w:tc>
        <w:tc>
          <w:tcPr>
            <w:tcW w:w="5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21</w:t>
            </w:r>
          </w:p>
        </w:tc>
        <w:tc>
          <w:tcPr>
            <w:tcW w:w="2500" w:type="dxa"/>
            <w:vAlign w:val="center"/>
          </w:tcPr>
          <w:p>
            <w:pPr>
              <w:rPr>
                <w:color w:val="000000" w:themeColor="text1"/>
                <w:sz w:val="18"/>
                <w:szCs w:val="18"/>
                <w14:textFill>
                  <w14:solidFill>
                    <w14:schemeClr w14:val="tx1"/>
                  </w14:solidFill>
                </w14:textFill>
              </w:rPr>
            </w:pPr>
          </w:p>
        </w:tc>
        <w:tc>
          <w:tcPr>
            <w:tcW w:w="334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二十一、国有资本经营预算支出</w:t>
            </w:r>
          </w:p>
        </w:tc>
        <w:tc>
          <w:tcPr>
            <w:tcW w:w="5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51</w:t>
            </w:r>
          </w:p>
        </w:tc>
        <w:tc>
          <w:tcPr>
            <w:tcW w:w="248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color w:val="000000" w:themeColor="text1"/>
                <w:sz w:val="18"/>
                <w:szCs w:val="18"/>
                <w14:textFill>
                  <w14:solidFill>
                    <w14:schemeClr w14:val="tx1"/>
                  </w14:solidFill>
                </w14:textFill>
              </w:rPr>
            </w:pPr>
          </w:p>
        </w:tc>
        <w:tc>
          <w:tcPr>
            <w:tcW w:w="5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22</w:t>
            </w:r>
          </w:p>
        </w:tc>
        <w:tc>
          <w:tcPr>
            <w:tcW w:w="2500" w:type="dxa"/>
            <w:vAlign w:val="center"/>
          </w:tcPr>
          <w:p>
            <w:pPr>
              <w:rPr>
                <w:color w:val="000000" w:themeColor="text1"/>
                <w:sz w:val="18"/>
                <w:szCs w:val="18"/>
                <w14:textFill>
                  <w14:solidFill>
                    <w14:schemeClr w14:val="tx1"/>
                  </w14:solidFill>
                </w14:textFill>
              </w:rPr>
            </w:pPr>
          </w:p>
        </w:tc>
        <w:tc>
          <w:tcPr>
            <w:tcW w:w="334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二十二、灾害防治及应急管理支出</w:t>
            </w:r>
          </w:p>
        </w:tc>
        <w:tc>
          <w:tcPr>
            <w:tcW w:w="5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52</w:t>
            </w:r>
          </w:p>
        </w:tc>
        <w:tc>
          <w:tcPr>
            <w:tcW w:w="248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color w:val="000000" w:themeColor="text1"/>
                <w:sz w:val="18"/>
                <w:szCs w:val="18"/>
                <w14:textFill>
                  <w14:solidFill>
                    <w14:schemeClr w14:val="tx1"/>
                  </w14:solidFill>
                </w14:textFill>
              </w:rPr>
            </w:pPr>
          </w:p>
        </w:tc>
        <w:tc>
          <w:tcPr>
            <w:tcW w:w="5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23</w:t>
            </w:r>
          </w:p>
        </w:tc>
        <w:tc>
          <w:tcPr>
            <w:tcW w:w="2500" w:type="dxa"/>
            <w:vAlign w:val="center"/>
          </w:tcPr>
          <w:p>
            <w:pPr>
              <w:rPr>
                <w:color w:val="000000" w:themeColor="text1"/>
                <w:sz w:val="18"/>
                <w:szCs w:val="18"/>
                <w14:textFill>
                  <w14:solidFill>
                    <w14:schemeClr w14:val="tx1"/>
                  </w14:solidFill>
                </w14:textFill>
              </w:rPr>
            </w:pPr>
          </w:p>
        </w:tc>
        <w:tc>
          <w:tcPr>
            <w:tcW w:w="334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二十三、其他支出</w:t>
            </w:r>
          </w:p>
        </w:tc>
        <w:tc>
          <w:tcPr>
            <w:tcW w:w="5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53</w:t>
            </w:r>
          </w:p>
        </w:tc>
        <w:tc>
          <w:tcPr>
            <w:tcW w:w="248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color w:val="000000" w:themeColor="text1"/>
                <w:sz w:val="18"/>
                <w:szCs w:val="18"/>
                <w14:textFill>
                  <w14:solidFill>
                    <w14:schemeClr w14:val="tx1"/>
                  </w14:solidFill>
                </w14:textFill>
              </w:rPr>
            </w:pPr>
          </w:p>
        </w:tc>
        <w:tc>
          <w:tcPr>
            <w:tcW w:w="5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24</w:t>
            </w:r>
          </w:p>
        </w:tc>
        <w:tc>
          <w:tcPr>
            <w:tcW w:w="2500" w:type="dxa"/>
            <w:vAlign w:val="center"/>
          </w:tcPr>
          <w:p>
            <w:pPr>
              <w:rPr>
                <w:color w:val="000000" w:themeColor="text1"/>
                <w:sz w:val="18"/>
                <w:szCs w:val="18"/>
                <w14:textFill>
                  <w14:solidFill>
                    <w14:schemeClr w14:val="tx1"/>
                  </w14:solidFill>
                </w14:textFill>
              </w:rPr>
            </w:pPr>
          </w:p>
        </w:tc>
        <w:tc>
          <w:tcPr>
            <w:tcW w:w="334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二十四、债务还本支出</w:t>
            </w:r>
          </w:p>
        </w:tc>
        <w:tc>
          <w:tcPr>
            <w:tcW w:w="5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54</w:t>
            </w:r>
          </w:p>
        </w:tc>
        <w:tc>
          <w:tcPr>
            <w:tcW w:w="248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color w:val="000000" w:themeColor="text1"/>
                <w:sz w:val="18"/>
                <w:szCs w:val="18"/>
                <w14:textFill>
                  <w14:solidFill>
                    <w14:schemeClr w14:val="tx1"/>
                  </w14:solidFill>
                </w14:textFill>
              </w:rPr>
            </w:pPr>
          </w:p>
        </w:tc>
        <w:tc>
          <w:tcPr>
            <w:tcW w:w="5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25</w:t>
            </w:r>
          </w:p>
        </w:tc>
        <w:tc>
          <w:tcPr>
            <w:tcW w:w="2500" w:type="dxa"/>
            <w:vAlign w:val="center"/>
          </w:tcPr>
          <w:p>
            <w:pPr>
              <w:rPr>
                <w:color w:val="000000" w:themeColor="text1"/>
                <w:sz w:val="18"/>
                <w:szCs w:val="18"/>
                <w14:textFill>
                  <w14:solidFill>
                    <w14:schemeClr w14:val="tx1"/>
                  </w14:solidFill>
                </w14:textFill>
              </w:rPr>
            </w:pPr>
          </w:p>
        </w:tc>
        <w:tc>
          <w:tcPr>
            <w:tcW w:w="334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二十五、债务付息支出</w:t>
            </w:r>
          </w:p>
        </w:tc>
        <w:tc>
          <w:tcPr>
            <w:tcW w:w="5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55</w:t>
            </w:r>
          </w:p>
        </w:tc>
        <w:tc>
          <w:tcPr>
            <w:tcW w:w="248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color w:val="000000" w:themeColor="text1"/>
                <w:sz w:val="18"/>
                <w:szCs w:val="18"/>
                <w14:textFill>
                  <w14:solidFill>
                    <w14:schemeClr w14:val="tx1"/>
                  </w14:solidFill>
                </w14:textFill>
              </w:rPr>
            </w:pPr>
          </w:p>
        </w:tc>
        <w:tc>
          <w:tcPr>
            <w:tcW w:w="5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26</w:t>
            </w:r>
          </w:p>
        </w:tc>
        <w:tc>
          <w:tcPr>
            <w:tcW w:w="2500" w:type="dxa"/>
            <w:vAlign w:val="center"/>
          </w:tcPr>
          <w:p>
            <w:pPr>
              <w:rPr>
                <w:color w:val="000000" w:themeColor="text1"/>
                <w:sz w:val="18"/>
                <w:szCs w:val="18"/>
                <w14:textFill>
                  <w14:solidFill>
                    <w14:schemeClr w14:val="tx1"/>
                  </w14:solidFill>
                </w14:textFill>
              </w:rPr>
            </w:pPr>
          </w:p>
        </w:tc>
        <w:tc>
          <w:tcPr>
            <w:tcW w:w="334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二十六、抗疫特别国债安排的支出</w:t>
            </w:r>
          </w:p>
        </w:tc>
        <w:tc>
          <w:tcPr>
            <w:tcW w:w="5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56</w:t>
            </w:r>
          </w:p>
        </w:tc>
        <w:tc>
          <w:tcPr>
            <w:tcW w:w="248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i w:val="0"/>
                <w:color w:val="000000" w:themeColor="text1"/>
                <w:sz w:val="18"/>
                <w:szCs w:val="18"/>
                <w14:textFill>
                  <w14:solidFill>
                    <w14:schemeClr w14:val="tx1"/>
                  </w14:solidFill>
                </w14:textFill>
              </w:rPr>
              <w:t>本年收入合计</w:t>
            </w:r>
          </w:p>
        </w:tc>
        <w:tc>
          <w:tcPr>
            <w:tcW w:w="5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27</w:t>
            </w:r>
          </w:p>
        </w:tc>
        <w:tc>
          <w:tcPr>
            <w:tcW w:w="25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2,501.75</w:t>
            </w:r>
          </w:p>
        </w:tc>
        <w:tc>
          <w:tcPr>
            <w:tcW w:w="334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i w:val="0"/>
                <w:color w:val="000000" w:themeColor="text1"/>
                <w:sz w:val="18"/>
                <w:szCs w:val="18"/>
                <w14:textFill>
                  <w14:solidFill>
                    <w14:schemeClr w14:val="tx1"/>
                  </w14:solidFill>
                </w14:textFill>
              </w:rPr>
              <w:t>本年支出合计</w:t>
            </w:r>
          </w:p>
        </w:tc>
        <w:tc>
          <w:tcPr>
            <w:tcW w:w="5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57</w:t>
            </w:r>
          </w:p>
        </w:tc>
        <w:tc>
          <w:tcPr>
            <w:tcW w:w="248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2,501.75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使用非财政拨款结余（含专用结余）</w:t>
            </w:r>
          </w:p>
        </w:tc>
        <w:tc>
          <w:tcPr>
            <w:tcW w:w="5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28</w:t>
            </w:r>
          </w:p>
        </w:tc>
        <w:tc>
          <w:tcPr>
            <w:tcW w:w="25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334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结余分配</w:t>
            </w:r>
          </w:p>
        </w:tc>
        <w:tc>
          <w:tcPr>
            <w:tcW w:w="5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58</w:t>
            </w:r>
          </w:p>
        </w:tc>
        <w:tc>
          <w:tcPr>
            <w:tcW w:w="248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年初结转和结余</w:t>
            </w:r>
          </w:p>
        </w:tc>
        <w:tc>
          <w:tcPr>
            <w:tcW w:w="5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29</w:t>
            </w:r>
          </w:p>
        </w:tc>
        <w:tc>
          <w:tcPr>
            <w:tcW w:w="25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334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年末结转和结余</w:t>
            </w:r>
          </w:p>
        </w:tc>
        <w:tc>
          <w:tcPr>
            <w:tcW w:w="5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59</w:t>
            </w:r>
          </w:p>
        </w:tc>
        <w:tc>
          <w:tcPr>
            <w:tcW w:w="248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i w:val="0"/>
                <w:color w:val="000000" w:themeColor="text1"/>
                <w:sz w:val="18"/>
                <w:szCs w:val="18"/>
                <w14:textFill>
                  <w14:solidFill>
                    <w14:schemeClr w14:val="tx1"/>
                  </w14:solidFill>
                </w14:textFill>
              </w:rPr>
              <w:t>总计</w:t>
            </w:r>
          </w:p>
        </w:tc>
        <w:tc>
          <w:tcPr>
            <w:tcW w:w="5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w:t>
            </w:r>
          </w:p>
        </w:tc>
        <w:tc>
          <w:tcPr>
            <w:tcW w:w="25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2,501.75</w:t>
            </w:r>
          </w:p>
        </w:tc>
        <w:tc>
          <w:tcPr>
            <w:tcW w:w="334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i w:val="0"/>
                <w:color w:val="000000" w:themeColor="text1"/>
                <w:sz w:val="18"/>
                <w:szCs w:val="18"/>
                <w14:textFill>
                  <w14:solidFill>
                    <w14:schemeClr w14:val="tx1"/>
                  </w14:solidFill>
                </w14:textFill>
              </w:rPr>
              <w:t>总计</w:t>
            </w:r>
          </w:p>
        </w:tc>
        <w:tc>
          <w:tcPr>
            <w:tcW w:w="5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60</w:t>
            </w:r>
          </w:p>
        </w:tc>
        <w:tc>
          <w:tcPr>
            <w:tcW w:w="248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2,501.75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12824" w:type="dxa"/>
            <w:gridSpan w:val="6"/>
            <w:tcBorders>
              <w:left w:val="nil"/>
              <w:bottom w:val="nil"/>
              <w:right w:val="nil"/>
              <w:insideH w:val="single" w:sz="4" w:space="0"/>
              <w:insideV w:val="single" w:sz="4" w:space="0"/>
            </w:tcBorders>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themeColor="text1"/>
          <w:kern w:val="0"/>
          <w:sz w:val="20"/>
          <w:szCs w:val="20"/>
          <w:lang w:val="en-US" w:eastAsia="zh-CN"/>
          <w14:textFill>
            <w14:solidFill>
              <w14:schemeClr w14:val="tx1"/>
            </w14:solidFill>
          </w14:textFill>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color w:val="000000" w:themeColor="text1"/>
          <w:sz w:val="24"/>
          <w:szCs w:val="24"/>
          <w:lang w:val="en-US" w:eastAsia="zh-CN"/>
          <w14:textFill>
            <w14:solidFill>
              <w14:schemeClr w14:val="tx1"/>
            </w14:solidFill>
          </w14:textFill>
        </w:rPr>
      </w:pPr>
      <w:r>
        <w:rPr>
          <w:rFonts w:hint="eastAsia" w:ascii="华文中宋" w:hAnsi="华文中宋" w:eastAsia="华文中宋" w:cs="华文中宋"/>
          <w:color w:val="000000" w:themeColor="text1"/>
          <w:kern w:val="0"/>
          <w:sz w:val="32"/>
          <w:szCs w:val="32"/>
          <w:lang w:val="en-US" w:eastAsia="zh-CN"/>
          <w14:textFill>
            <w14:solidFill>
              <w14:schemeClr w14:val="tx1"/>
            </w14:solidFill>
          </w14:textFill>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rPr>
                <w:color w:val="000000" w:themeColor="text1"/>
                <w:sz w:val="18"/>
                <w:szCs w:val="18"/>
                <w14:textFill>
                  <w14:solidFill>
                    <w14:schemeClr w14:val="tx1"/>
                  </w14:solidFill>
                </w14:textFill>
              </w:rPr>
            </w:pPr>
            <w:r>
              <w:rPr>
                <w:rFonts w:ascii="宋体" w:hAnsi="宋体" w:eastAsia="宋体" w:cs="宋体"/>
                <w:color w:val="000000" w:themeColor="text1"/>
                <w:sz w:val="18"/>
                <w:szCs w:val="18"/>
                <w14:textFill>
                  <w14:solidFill>
                    <w14:schemeClr w14:val="tx1"/>
                  </w14:solidFill>
                </w14:textFill>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rPr>
                <w:color w:val="000000" w:themeColor="text1"/>
                <w:sz w:val="18"/>
                <w:szCs w:val="18"/>
                <w14:textFill>
                  <w14:solidFill>
                    <w14:schemeClr w14:val="tx1"/>
                  </w14:solidFill>
                </w14:textFill>
              </w:rPr>
            </w:pPr>
            <w:r>
              <w:rPr>
                <w:rFonts w:ascii="宋体" w:hAnsi="宋体" w:eastAsia="宋体" w:cs="宋体"/>
                <w:color w:val="000000" w:themeColor="text1"/>
                <w:sz w:val="18"/>
                <w:szCs w:val="18"/>
                <w14:textFill>
                  <w14:solidFill>
                    <w14:schemeClr w14:val="tx1"/>
                  </w14:solidFill>
                </w14:textFill>
              </w:rPr>
              <w:t>部门：中共郸城县纪律检查委员会</w:t>
            </w:r>
          </w:p>
        </w:tc>
        <w:tc>
          <w:tcPr>
            <w:tcW w:w="2000" w:type="dxa"/>
          </w:tcPr>
          <w:p>
            <w:pPr>
              <w:jc w:val="center"/>
              <w:rPr>
                <w:color w:val="000000" w:themeColor="text1"/>
                <w:sz w:val="18"/>
                <w:szCs w:val="18"/>
                <w14:textFill>
                  <w14:solidFill>
                    <w14:schemeClr w14:val="tx1"/>
                  </w14:solidFill>
                </w14:textFill>
              </w:rPr>
            </w:pPr>
            <w:r>
              <w:rPr>
                <w:rFonts w:ascii="宋体" w:hAnsi="宋体" w:eastAsia="宋体" w:cs="宋体"/>
                <w:color w:val="000000" w:themeColor="text1"/>
                <w:sz w:val="18"/>
                <w:szCs w:val="18"/>
                <w14:textFill>
                  <w14:solidFill>
                    <w14:schemeClr w14:val="tx1"/>
                  </w14:solidFill>
                </w14:textFill>
              </w:rPr>
              <w:t>2024年度</w:t>
            </w:r>
          </w:p>
        </w:tc>
        <w:tc>
          <w:tcPr>
            <w:tcW w:w="3513" w:type="dxa"/>
          </w:tcPr>
          <w:p>
            <w:pPr>
              <w:jc w:val="right"/>
              <w:rPr>
                <w:rFonts w:hint="eastAsia" w:eastAsia="宋体"/>
                <w:color w:val="000000" w:themeColor="text1"/>
                <w:sz w:val="18"/>
                <w:szCs w:val="18"/>
                <w:lang w:eastAsia="zh-CN"/>
                <w14:textFill>
                  <w14:solidFill>
                    <w14:schemeClr w14:val="tx1"/>
                  </w14:solidFill>
                </w14:textFill>
              </w:rPr>
            </w:pPr>
            <w:r>
              <w:rPr>
                <w:rFonts w:hint="eastAsia" w:ascii="宋体" w:hAnsi="宋体" w:cs="宋体"/>
                <w:color w:val="000000" w:themeColor="text1"/>
                <w:sz w:val="18"/>
                <w:szCs w:val="18"/>
                <w:lang w:eastAsia="zh-CN"/>
                <w14:textFill>
                  <w14:solidFill>
                    <w14:schemeClr w14:val="tx1"/>
                  </w14:solidFill>
                </w14:textFill>
              </w:rPr>
              <w:t>金额单位：万元</w:t>
            </w:r>
          </w:p>
        </w:tc>
      </w:tr>
    </w:tbl>
    <w:p>
      <w:pPr>
        <w:snapToGrid w:val="0"/>
        <w:spacing w:before="0" w:after="0" w:line="0" w:lineRule="auto"/>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85"/>
        <w:gridCol w:w="2846"/>
        <w:gridCol w:w="936"/>
        <w:gridCol w:w="946"/>
        <w:gridCol w:w="745"/>
        <w:gridCol w:w="646"/>
        <w:gridCol w:w="663"/>
        <w:gridCol w:w="700"/>
        <w:gridCol w:w="65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731" w:type="dxa"/>
            <w:gridSpan w:val="2"/>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项目</w:t>
            </w:r>
          </w:p>
        </w:tc>
        <w:tc>
          <w:tcPr>
            <w:tcW w:w="936" w:type="dxa"/>
            <w:vMerge w:val="restart"/>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本年收入合计</w:t>
            </w:r>
          </w:p>
        </w:tc>
        <w:tc>
          <w:tcPr>
            <w:tcW w:w="946" w:type="dxa"/>
            <w:vMerge w:val="restart"/>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财政拨款收入</w:t>
            </w:r>
          </w:p>
        </w:tc>
        <w:tc>
          <w:tcPr>
            <w:tcW w:w="745" w:type="dxa"/>
            <w:vMerge w:val="restart"/>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上级补助收入</w:t>
            </w:r>
          </w:p>
        </w:tc>
        <w:tc>
          <w:tcPr>
            <w:tcW w:w="646" w:type="dxa"/>
            <w:vMerge w:val="restart"/>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事业收入</w:t>
            </w:r>
          </w:p>
        </w:tc>
        <w:tc>
          <w:tcPr>
            <w:tcW w:w="663" w:type="dxa"/>
            <w:vMerge w:val="restart"/>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经营收入</w:t>
            </w:r>
          </w:p>
        </w:tc>
        <w:tc>
          <w:tcPr>
            <w:tcW w:w="700" w:type="dxa"/>
            <w:vMerge w:val="restart"/>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附属单位上缴收入</w:t>
            </w:r>
          </w:p>
        </w:tc>
        <w:tc>
          <w:tcPr>
            <w:tcW w:w="659" w:type="dxa"/>
            <w:vMerge w:val="restart"/>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其他收入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5" w:type="dxa"/>
            <w:vMerge w:val="restart"/>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功能分类</w:t>
            </w:r>
          </w:p>
          <w:p>
            <w:pPr>
              <w:shd w:val="clear" w:color="auto" w:fill="auto"/>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科目编码</w:t>
            </w:r>
          </w:p>
        </w:tc>
        <w:tc>
          <w:tcPr>
            <w:tcW w:w="2846" w:type="dxa"/>
            <w:vMerge w:val="restart"/>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科目名称</w:t>
            </w:r>
          </w:p>
        </w:tc>
        <w:tc>
          <w:tcPr>
            <w:tcW w:w="936" w:type="dxa"/>
            <w:vMerge w:val="continue"/>
            <w:vAlign w:val="center"/>
          </w:tcPr>
          <w:p>
            <w:pPr>
              <w:rPr>
                <w:color w:val="000000" w:themeColor="text1"/>
                <w:sz w:val="18"/>
                <w:szCs w:val="18"/>
                <w14:textFill>
                  <w14:solidFill>
                    <w14:schemeClr w14:val="tx1"/>
                  </w14:solidFill>
                </w14:textFill>
              </w:rPr>
            </w:pPr>
          </w:p>
        </w:tc>
        <w:tc>
          <w:tcPr>
            <w:tcW w:w="946" w:type="dxa"/>
            <w:vMerge w:val="continue"/>
            <w:vAlign w:val="center"/>
          </w:tcPr>
          <w:p>
            <w:pPr>
              <w:rPr>
                <w:color w:val="000000" w:themeColor="text1"/>
                <w:sz w:val="18"/>
                <w:szCs w:val="18"/>
                <w14:textFill>
                  <w14:solidFill>
                    <w14:schemeClr w14:val="tx1"/>
                  </w14:solidFill>
                </w14:textFill>
              </w:rPr>
            </w:pPr>
          </w:p>
        </w:tc>
        <w:tc>
          <w:tcPr>
            <w:tcW w:w="745" w:type="dxa"/>
            <w:vMerge w:val="continue"/>
            <w:vAlign w:val="center"/>
          </w:tcPr>
          <w:p>
            <w:pPr>
              <w:rPr>
                <w:color w:val="000000" w:themeColor="text1"/>
                <w:sz w:val="18"/>
                <w:szCs w:val="18"/>
                <w14:textFill>
                  <w14:solidFill>
                    <w14:schemeClr w14:val="tx1"/>
                  </w14:solidFill>
                </w14:textFill>
              </w:rPr>
            </w:pPr>
          </w:p>
        </w:tc>
        <w:tc>
          <w:tcPr>
            <w:tcW w:w="646" w:type="dxa"/>
            <w:vMerge w:val="continue"/>
            <w:vAlign w:val="center"/>
          </w:tcPr>
          <w:p>
            <w:pPr>
              <w:rPr>
                <w:color w:val="000000" w:themeColor="text1"/>
                <w:sz w:val="18"/>
                <w:szCs w:val="18"/>
                <w14:textFill>
                  <w14:solidFill>
                    <w14:schemeClr w14:val="tx1"/>
                  </w14:solidFill>
                </w14:textFill>
              </w:rPr>
            </w:pPr>
          </w:p>
        </w:tc>
        <w:tc>
          <w:tcPr>
            <w:tcW w:w="663" w:type="dxa"/>
            <w:vMerge w:val="continue"/>
            <w:vAlign w:val="center"/>
          </w:tcPr>
          <w:p>
            <w:pPr>
              <w:rPr>
                <w:color w:val="000000" w:themeColor="text1"/>
                <w:sz w:val="18"/>
                <w:szCs w:val="18"/>
                <w14:textFill>
                  <w14:solidFill>
                    <w14:schemeClr w14:val="tx1"/>
                  </w14:solidFill>
                </w14:textFill>
              </w:rPr>
            </w:pPr>
          </w:p>
        </w:tc>
        <w:tc>
          <w:tcPr>
            <w:tcW w:w="700" w:type="dxa"/>
            <w:vMerge w:val="continue"/>
            <w:vAlign w:val="center"/>
          </w:tcPr>
          <w:p>
            <w:pPr>
              <w:rPr>
                <w:color w:val="000000" w:themeColor="text1"/>
                <w:sz w:val="18"/>
                <w:szCs w:val="18"/>
                <w14:textFill>
                  <w14:solidFill>
                    <w14:schemeClr w14:val="tx1"/>
                  </w14:solidFill>
                </w14:textFill>
              </w:rPr>
            </w:pPr>
          </w:p>
        </w:tc>
        <w:tc>
          <w:tcPr>
            <w:tcW w:w="659" w:type="dxa"/>
            <w:vMerge w:val="continue"/>
            <w:vAlign w:val="center"/>
          </w:tcPr>
          <w:p>
            <w:pPr>
              <w:rPr>
                <w:color w:val="000000" w:themeColor="text1"/>
                <w:sz w:val="18"/>
                <w:szCs w:val="18"/>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5" w:type="dxa"/>
            <w:vMerge w:val="continue"/>
            <w:vAlign w:val="center"/>
          </w:tcPr>
          <w:p>
            <w:pPr>
              <w:rPr>
                <w:color w:val="000000" w:themeColor="text1"/>
                <w:sz w:val="18"/>
                <w:szCs w:val="18"/>
                <w14:textFill>
                  <w14:solidFill>
                    <w14:schemeClr w14:val="tx1"/>
                  </w14:solidFill>
                </w14:textFill>
              </w:rPr>
            </w:pPr>
          </w:p>
        </w:tc>
        <w:tc>
          <w:tcPr>
            <w:tcW w:w="2846" w:type="dxa"/>
            <w:vMerge w:val="continue"/>
            <w:vAlign w:val="center"/>
          </w:tcPr>
          <w:p>
            <w:pPr>
              <w:rPr>
                <w:color w:val="000000" w:themeColor="text1"/>
                <w:sz w:val="18"/>
                <w:szCs w:val="18"/>
                <w14:textFill>
                  <w14:solidFill>
                    <w14:schemeClr w14:val="tx1"/>
                  </w14:solidFill>
                </w14:textFill>
              </w:rPr>
            </w:pPr>
          </w:p>
        </w:tc>
        <w:tc>
          <w:tcPr>
            <w:tcW w:w="936" w:type="dxa"/>
            <w:vMerge w:val="continue"/>
            <w:vAlign w:val="center"/>
          </w:tcPr>
          <w:p>
            <w:pPr>
              <w:rPr>
                <w:color w:val="000000" w:themeColor="text1"/>
                <w:sz w:val="18"/>
                <w:szCs w:val="18"/>
                <w14:textFill>
                  <w14:solidFill>
                    <w14:schemeClr w14:val="tx1"/>
                  </w14:solidFill>
                </w14:textFill>
              </w:rPr>
            </w:pPr>
          </w:p>
        </w:tc>
        <w:tc>
          <w:tcPr>
            <w:tcW w:w="946" w:type="dxa"/>
            <w:vMerge w:val="continue"/>
            <w:vAlign w:val="center"/>
          </w:tcPr>
          <w:p>
            <w:pPr>
              <w:rPr>
                <w:color w:val="000000" w:themeColor="text1"/>
                <w:sz w:val="18"/>
                <w:szCs w:val="18"/>
                <w14:textFill>
                  <w14:solidFill>
                    <w14:schemeClr w14:val="tx1"/>
                  </w14:solidFill>
                </w14:textFill>
              </w:rPr>
            </w:pPr>
          </w:p>
        </w:tc>
        <w:tc>
          <w:tcPr>
            <w:tcW w:w="745" w:type="dxa"/>
            <w:vMerge w:val="continue"/>
            <w:vAlign w:val="center"/>
          </w:tcPr>
          <w:p>
            <w:pPr>
              <w:rPr>
                <w:color w:val="000000" w:themeColor="text1"/>
                <w:sz w:val="18"/>
                <w:szCs w:val="18"/>
                <w14:textFill>
                  <w14:solidFill>
                    <w14:schemeClr w14:val="tx1"/>
                  </w14:solidFill>
                </w14:textFill>
              </w:rPr>
            </w:pPr>
          </w:p>
        </w:tc>
        <w:tc>
          <w:tcPr>
            <w:tcW w:w="646" w:type="dxa"/>
            <w:vMerge w:val="continue"/>
            <w:vAlign w:val="center"/>
          </w:tcPr>
          <w:p>
            <w:pPr>
              <w:rPr>
                <w:color w:val="000000" w:themeColor="text1"/>
                <w:sz w:val="18"/>
                <w:szCs w:val="18"/>
                <w14:textFill>
                  <w14:solidFill>
                    <w14:schemeClr w14:val="tx1"/>
                  </w14:solidFill>
                </w14:textFill>
              </w:rPr>
            </w:pPr>
          </w:p>
        </w:tc>
        <w:tc>
          <w:tcPr>
            <w:tcW w:w="663" w:type="dxa"/>
            <w:vMerge w:val="continue"/>
            <w:vAlign w:val="center"/>
          </w:tcPr>
          <w:p>
            <w:pPr>
              <w:rPr>
                <w:color w:val="000000" w:themeColor="text1"/>
                <w:sz w:val="18"/>
                <w:szCs w:val="18"/>
                <w14:textFill>
                  <w14:solidFill>
                    <w14:schemeClr w14:val="tx1"/>
                  </w14:solidFill>
                </w14:textFill>
              </w:rPr>
            </w:pPr>
          </w:p>
        </w:tc>
        <w:tc>
          <w:tcPr>
            <w:tcW w:w="700" w:type="dxa"/>
            <w:vMerge w:val="continue"/>
            <w:vAlign w:val="center"/>
          </w:tcPr>
          <w:p>
            <w:pPr>
              <w:rPr>
                <w:color w:val="000000" w:themeColor="text1"/>
                <w:sz w:val="18"/>
                <w:szCs w:val="18"/>
                <w14:textFill>
                  <w14:solidFill>
                    <w14:schemeClr w14:val="tx1"/>
                  </w14:solidFill>
                </w14:textFill>
              </w:rPr>
            </w:pPr>
          </w:p>
        </w:tc>
        <w:tc>
          <w:tcPr>
            <w:tcW w:w="659" w:type="dxa"/>
            <w:vMerge w:val="continue"/>
            <w:vAlign w:val="center"/>
          </w:tcPr>
          <w:p>
            <w:pPr>
              <w:rPr>
                <w:color w:val="000000" w:themeColor="text1"/>
                <w:sz w:val="18"/>
                <w:szCs w:val="18"/>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5" w:type="dxa"/>
            <w:vMerge w:val="continue"/>
            <w:vAlign w:val="center"/>
          </w:tcPr>
          <w:p>
            <w:pPr>
              <w:rPr>
                <w:color w:val="000000" w:themeColor="text1"/>
                <w:sz w:val="18"/>
                <w:szCs w:val="18"/>
                <w14:textFill>
                  <w14:solidFill>
                    <w14:schemeClr w14:val="tx1"/>
                  </w14:solidFill>
                </w14:textFill>
              </w:rPr>
            </w:pPr>
          </w:p>
        </w:tc>
        <w:tc>
          <w:tcPr>
            <w:tcW w:w="2846" w:type="dxa"/>
            <w:vMerge w:val="continue"/>
            <w:vAlign w:val="center"/>
          </w:tcPr>
          <w:p>
            <w:pPr>
              <w:rPr>
                <w:color w:val="000000" w:themeColor="text1"/>
                <w:sz w:val="18"/>
                <w:szCs w:val="18"/>
                <w14:textFill>
                  <w14:solidFill>
                    <w14:schemeClr w14:val="tx1"/>
                  </w14:solidFill>
                </w14:textFill>
              </w:rPr>
            </w:pPr>
          </w:p>
        </w:tc>
        <w:tc>
          <w:tcPr>
            <w:tcW w:w="936" w:type="dxa"/>
            <w:vMerge w:val="continue"/>
            <w:vAlign w:val="center"/>
          </w:tcPr>
          <w:p>
            <w:pPr>
              <w:rPr>
                <w:color w:val="000000" w:themeColor="text1"/>
                <w:sz w:val="18"/>
                <w:szCs w:val="18"/>
                <w14:textFill>
                  <w14:solidFill>
                    <w14:schemeClr w14:val="tx1"/>
                  </w14:solidFill>
                </w14:textFill>
              </w:rPr>
            </w:pPr>
          </w:p>
        </w:tc>
        <w:tc>
          <w:tcPr>
            <w:tcW w:w="946" w:type="dxa"/>
            <w:vMerge w:val="continue"/>
            <w:vAlign w:val="center"/>
          </w:tcPr>
          <w:p>
            <w:pPr>
              <w:rPr>
                <w:color w:val="000000" w:themeColor="text1"/>
                <w:sz w:val="18"/>
                <w:szCs w:val="18"/>
                <w14:textFill>
                  <w14:solidFill>
                    <w14:schemeClr w14:val="tx1"/>
                  </w14:solidFill>
                </w14:textFill>
              </w:rPr>
            </w:pPr>
          </w:p>
        </w:tc>
        <w:tc>
          <w:tcPr>
            <w:tcW w:w="745" w:type="dxa"/>
            <w:vMerge w:val="continue"/>
            <w:vAlign w:val="center"/>
          </w:tcPr>
          <w:p>
            <w:pPr>
              <w:rPr>
                <w:color w:val="000000" w:themeColor="text1"/>
                <w:sz w:val="18"/>
                <w:szCs w:val="18"/>
                <w14:textFill>
                  <w14:solidFill>
                    <w14:schemeClr w14:val="tx1"/>
                  </w14:solidFill>
                </w14:textFill>
              </w:rPr>
            </w:pPr>
          </w:p>
        </w:tc>
        <w:tc>
          <w:tcPr>
            <w:tcW w:w="646" w:type="dxa"/>
            <w:vMerge w:val="continue"/>
            <w:vAlign w:val="center"/>
          </w:tcPr>
          <w:p>
            <w:pPr>
              <w:rPr>
                <w:color w:val="000000" w:themeColor="text1"/>
                <w:sz w:val="18"/>
                <w:szCs w:val="18"/>
                <w14:textFill>
                  <w14:solidFill>
                    <w14:schemeClr w14:val="tx1"/>
                  </w14:solidFill>
                </w14:textFill>
              </w:rPr>
            </w:pPr>
          </w:p>
        </w:tc>
        <w:tc>
          <w:tcPr>
            <w:tcW w:w="663" w:type="dxa"/>
            <w:vMerge w:val="continue"/>
            <w:vAlign w:val="center"/>
          </w:tcPr>
          <w:p>
            <w:pPr>
              <w:rPr>
                <w:color w:val="000000" w:themeColor="text1"/>
                <w:sz w:val="18"/>
                <w:szCs w:val="18"/>
                <w14:textFill>
                  <w14:solidFill>
                    <w14:schemeClr w14:val="tx1"/>
                  </w14:solidFill>
                </w14:textFill>
              </w:rPr>
            </w:pPr>
          </w:p>
        </w:tc>
        <w:tc>
          <w:tcPr>
            <w:tcW w:w="700" w:type="dxa"/>
            <w:vMerge w:val="continue"/>
            <w:vAlign w:val="center"/>
          </w:tcPr>
          <w:p>
            <w:pPr>
              <w:rPr>
                <w:color w:val="000000" w:themeColor="text1"/>
                <w:sz w:val="18"/>
                <w:szCs w:val="18"/>
                <w14:textFill>
                  <w14:solidFill>
                    <w14:schemeClr w14:val="tx1"/>
                  </w14:solidFill>
                </w14:textFill>
              </w:rPr>
            </w:pPr>
          </w:p>
        </w:tc>
        <w:tc>
          <w:tcPr>
            <w:tcW w:w="659" w:type="dxa"/>
            <w:vMerge w:val="continue"/>
            <w:vAlign w:val="center"/>
          </w:tcPr>
          <w:p>
            <w:pPr>
              <w:rPr>
                <w:color w:val="000000" w:themeColor="text1"/>
                <w:sz w:val="18"/>
                <w:szCs w:val="18"/>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731" w:type="dxa"/>
            <w:gridSpan w:val="2"/>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栏次</w:t>
            </w:r>
          </w:p>
        </w:tc>
        <w:tc>
          <w:tcPr>
            <w:tcW w:w="936"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w:t>
            </w:r>
          </w:p>
        </w:tc>
        <w:tc>
          <w:tcPr>
            <w:tcW w:w="946"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w:t>
            </w:r>
          </w:p>
        </w:tc>
        <w:tc>
          <w:tcPr>
            <w:tcW w:w="745"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w:t>
            </w:r>
          </w:p>
        </w:tc>
        <w:tc>
          <w:tcPr>
            <w:tcW w:w="646"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4</w:t>
            </w:r>
          </w:p>
        </w:tc>
        <w:tc>
          <w:tcPr>
            <w:tcW w:w="663"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5</w:t>
            </w:r>
          </w:p>
        </w:tc>
        <w:tc>
          <w:tcPr>
            <w:tcW w:w="70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6</w:t>
            </w:r>
          </w:p>
        </w:tc>
        <w:tc>
          <w:tcPr>
            <w:tcW w:w="659"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731" w:type="dxa"/>
            <w:gridSpan w:val="2"/>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合计</w:t>
            </w:r>
          </w:p>
        </w:tc>
        <w:tc>
          <w:tcPr>
            <w:tcW w:w="93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2,501.75</w:t>
            </w:r>
          </w:p>
        </w:tc>
        <w:tc>
          <w:tcPr>
            <w:tcW w:w="94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2,501.75</w:t>
            </w:r>
          </w:p>
        </w:tc>
        <w:tc>
          <w:tcPr>
            <w:tcW w:w="745"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64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663"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7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659"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5"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201</w:t>
            </w:r>
          </w:p>
        </w:tc>
        <w:tc>
          <w:tcPr>
            <w:tcW w:w="2846"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一般公共服务支出</w:t>
            </w:r>
          </w:p>
        </w:tc>
        <w:tc>
          <w:tcPr>
            <w:tcW w:w="93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2,206.17</w:t>
            </w:r>
          </w:p>
        </w:tc>
        <w:tc>
          <w:tcPr>
            <w:tcW w:w="94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2,206.17</w:t>
            </w:r>
          </w:p>
        </w:tc>
        <w:tc>
          <w:tcPr>
            <w:tcW w:w="745"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64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663"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7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659"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5"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20111</w:t>
            </w:r>
          </w:p>
        </w:tc>
        <w:tc>
          <w:tcPr>
            <w:tcW w:w="2846"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纪检监察事务</w:t>
            </w:r>
          </w:p>
        </w:tc>
        <w:tc>
          <w:tcPr>
            <w:tcW w:w="93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2,206.17</w:t>
            </w:r>
          </w:p>
        </w:tc>
        <w:tc>
          <w:tcPr>
            <w:tcW w:w="94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2,206.17</w:t>
            </w:r>
          </w:p>
        </w:tc>
        <w:tc>
          <w:tcPr>
            <w:tcW w:w="745"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64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663"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7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659"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5"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2011101</w:t>
            </w:r>
          </w:p>
        </w:tc>
        <w:tc>
          <w:tcPr>
            <w:tcW w:w="2846"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行政运行</w:t>
            </w:r>
          </w:p>
        </w:tc>
        <w:tc>
          <w:tcPr>
            <w:tcW w:w="93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979.52</w:t>
            </w:r>
          </w:p>
        </w:tc>
        <w:tc>
          <w:tcPr>
            <w:tcW w:w="94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979.52</w:t>
            </w:r>
          </w:p>
        </w:tc>
        <w:tc>
          <w:tcPr>
            <w:tcW w:w="745"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64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663"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7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659"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5"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2011102</w:t>
            </w:r>
          </w:p>
        </w:tc>
        <w:tc>
          <w:tcPr>
            <w:tcW w:w="2846"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一般行政管理事务</w:t>
            </w:r>
          </w:p>
        </w:tc>
        <w:tc>
          <w:tcPr>
            <w:tcW w:w="93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801.72</w:t>
            </w:r>
          </w:p>
        </w:tc>
        <w:tc>
          <w:tcPr>
            <w:tcW w:w="94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801.72</w:t>
            </w:r>
          </w:p>
        </w:tc>
        <w:tc>
          <w:tcPr>
            <w:tcW w:w="745"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64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663"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7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659"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5"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2011104</w:t>
            </w:r>
          </w:p>
        </w:tc>
        <w:tc>
          <w:tcPr>
            <w:tcW w:w="2846"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大案要案查处</w:t>
            </w:r>
          </w:p>
        </w:tc>
        <w:tc>
          <w:tcPr>
            <w:tcW w:w="93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222.41</w:t>
            </w:r>
          </w:p>
        </w:tc>
        <w:tc>
          <w:tcPr>
            <w:tcW w:w="94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222.41</w:t>
            </w:r>
          </w:p>
        </w:tc>
        <w:tc>
          <w:tcPr>
            <w:tcW w:w="745"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64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663"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7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659"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5"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2011150</w:t>
            </w:r>
          </w:p>
        </w:tc>
        <w:tc>
          <w:tcPr>
            <w:tcW w:w="2846"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事业运行</w:t>
            </w:r>
          </w:p>
        </w:tc>
        <w:tc>
          <w:tcPr>
            <w:tcW w:w="93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173.52</w:t>
            </w:r>
          </w:p>
        </w:tc>
        <w:tc>
          <w:tcPr>
            <w:tcW w:w="94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173.52</w:t>
            </w:r>
          </w:p>
        </w:tc>
        <w:tc>
          <w:tcPr>
            <w:tcW w:w="745"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64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663"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7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659"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5"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2011199</w:t>
            </w:r>
          </w:p>
        </w:tc>
        <w:tc>
          <w:tcPr>
            <w:tcW w:w="2846"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其他纪检监察事务支出</w:t>
            </w:r>
          </w:p>
        </w:tc>
        <w:tc>
          <w:tcPr>
            <w:tcW w:w="93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29.00</w:t>
            </w:r>
          </w:p>
        </w:tc>
        <w:tc>
          <w:tcPr>
            <w:tcW w:w="94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29.00</w:t>
            </w:r>
          </w:p>
        </w:tc>
        <w:tc>
          <w:tcPr>
            <w:tcW w:w="745"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64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663"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7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659"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5"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208</w:t>
            </w:r>
          </w:p>
        </w:tc>
        <w:tc>
          <w:tcPr>
            <w:tcW w:w="2846"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社会保障和就业支出</w:t>
            </w:r>
          </w:p>
        </w:tc>
        <w:tc>
          <w:tcPr>
            <w:tcW w:w="93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146.66</w:t>
            </w:r>
          </w:p>
        </w:tc>
        <w:tc>
          <w:tcPr>
            <w:tcW w:w="94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146.66</w:t>
            </w:r>
          </w:p>
        </w:tc>
        <w:tc>
          <w:tcPr>
            <w:tcW w:w="745"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64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663"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7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659"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5"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20805</w:t>
            </w:r>
          </w:p>
        </w:tc>
        <w:tc>
          <w:tcPr>
            <w:tcW w:w="2846"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行政事业单位养老支出</w:t>
            </w:r>
          </w:p>
        </w:tc>
        <w:tc>
          <w:tcPr>
            <w:tcW w:w="93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143.66</w:t>
            </w:r>
          </w:p>
        </w:tc>
        <w:tc>
          <w:tcPr>
            <w:tcW w:w="94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143.66</w:t>
            </w:r>
          </w:p>
        </w:tc>
        <w:tc>
          <w:tcPr>
            <w:tcW w:w="745"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64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663"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7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659"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522" w:hRule="exact"/>
          <w:jc w:val="center"/>
        </w:trPr>
        <w:tc>
          <w:tcPr>
            <w:tcW w:w="885"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2080505</w:t>
            </w:r>
          </w:p>
        </w:tc>
        <w:tc>
          <w:tcPr>
            <w:tcW w:w="2846"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机关事业单位基本养老保险缴费支出</w:t>
            </w:r>
          </w:p>
        </w:tc>
        <w:tc>
          <w:tcPr>
            <w:tcW w:w="93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143.66</w:t>
            </w:r>
          </w:p>
        </w:tc>
        <w:tc>
          <w:tcPr>
            <w:tcW w:w="94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143.66</w:t>
            </w:r>
          </w:p>
        </w:tc>
        <w:tc>
          <w:tcPr>
            <w:tcW w:w="745"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64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663"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7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659"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5"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20899</w:t>
            </w:r>
          </w:p>
        </w:tc>
        <w:tc>
          <w:tcPr>
            <w:tcW w:w="2846"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其他社会保障和就业支出</w:t>
            </w:r>
          </w:p>
        </w:tc>
        <w:tc>
          <w:tcPr>
            <w:tcW w:w="93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3.00</w:t>
            </w:r>
          </w:p>
        </w:tc>
        <w:tc>
          <w:tcPr>
            <w:tcW w:w="94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3.00</w:t>
            </w:r>
          </w:p>
        </w:tc>
        <w:tc>
          <w:tcPr>
            <w:tcW w:w="745"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64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663"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7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659"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5"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2089999</w:t>
            </w:r>
          </w:p>
        </w:tc>
        <w:tc>
          <w:tcPr>
            <w:tcW w:w="2846"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其他社会保障和就业支出</w:t>
            </w:r>
          </w:p>
        </w:tc>
        <w:tc>
          <w:tcPr>
            <w:tcW w:w="93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3.00</w:t>
            </w:r>
          </w:p>
        </w:tc>
        <w:tc>
          <w:tcPr>
            <w:tcW w:w="94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3.00</w:t>
            </w:r>
          </w:p>
        </w:tc>
        <w:tc>
          <w:tcPr>
            <w:tcW w:w="745"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64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663"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7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659"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5"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210</w:t>
            </w:r>
          </w:p>
        </w:tc>
        <w:tc>
          <w:tcPr>
            <w:tcW w:w="2846"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卫生健康支出</w:t>
            </w:r>
          </w:p>
        </w:tc>
        <w:tc>
          <w:tcPr>
            <w:tcW w:w="93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71.72</w:t>
            </w:r>
          </w:p>
        </w:tc>
        <w:tc>
          <w:tcPr>
            <w:tcW w:w="94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71.72</w:t>
            </w:r>
          </w:p>
        </w:tc>
        <w:tc>
          <w:tcPr>
            <w:tcW w:w="745"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64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663"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7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659"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5"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21011</w:t>
            </w:r>
          </w:p>
        </w:tc>
        <w:tc>
          <w:tcPr>
            <w:tcW w:w="2846"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行政事业单位医疗</w:t>
            </w:r>
          </w:p>
        </w:tc>
        <w:tc>
          <w:tcPr>
            <w:tcW w:w="93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71.72</w:t>
            </w:r>
          </w:p>
        </w:tc>
        <w:tc>
          <w:tcPr>
            <w:tcW w:w="94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71.72</w:t>
            </w:r>
          </w:p>
        </w:tc>
        <w:tc>
          <w:tcPr>
            <w:tcW w:w="745"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64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663"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7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659"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5"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2101101</w:t>
            </w:r>
          </w:p>
        </w:tc>
        <w:tc>
          <w:tcPr>
            <w:tcW w:w="2846"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行政单位医疗</w:t>
            </w:r>
          </w:p>
        </w:tc>
        <w:tc>
          <w:tcPr>
            <w:tcW w:w="93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50.40</w:t>
            </w:r>
          </w:p>
        </w:tc>
        <w:tc>
          <w:tcPr>
            <w:tcW w:w="94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50.40</w:t>
            </w:r>
          </w:p>
        </w:tc>
        <w:tc>
          <w:tcPr>
            <w:tcW w:w="745"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64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663"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7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659"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5"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2101102</w:t>
            </w:r>
          </w:p>
        </w:tc>
        <w:tc>
          <w:tcPr>
            <w:tcW w:w="2846"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事业单位医疗</w:t>
            </w:r>
          </w:p>
        </w:tc>
        <w:tc>
          <w:tcPr>
            <w:tcW w:w="93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10.81</w:t>
            </w:r>
          </w:p>
        </w:tc>
        <w:tc>
          <w:tcPr>
            <w:tcW w:w="94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10.81</w:t>
            </w:r>
          </w:p>
        </w:tc>
        <w:tc>
          <w:tcPr>
            <w:tcW w:w="745"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64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663"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7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659"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5"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2101199</w:t>
            </w:r>
          </w:p>
        </w:tc>
        <w:tc>
          <w:tcPr>
            <w:tcW w:w="2846"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其他行政事业单位医疗支出</w:t>
            </w:r>
          </w:p>
        </w:tc>
        <w:tc>
          <w:tcPr>
            <w:tcW w:w="93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10.51</w:t>
            </w:r>
          </w:p>
        </w:tc>
        <w:tc>
          <w:tcPr>
            <w:tcW w:w="94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10.51</w:t>
            </w:r>
          </w:p>
        </w:tc>
        <w:tc>
          <w:tcPr>
            <w:tcW w:w="745"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64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663"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7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659"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5"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221</w:t>
            </w:r>
          </w:p>
        </w:tc>
        <w:tc>
          <w:tcPr>
            <w:tcW w:w="2846"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住房保障支出</w:t>
            </w:r>
          </w:p>
        </w:tc>
        <w:tc>
          <w:tcPr>
            <w:tcW w:w="93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77.20</w:t>
            </w:r>
          </w:p>
        </w:tc>
        <w:tc>
          <w:tcPr>
            <w:tcW w:w="94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77.20</w:t>
            </w:r>
          </w:p>
        </w:tc>
        <w:tc>
          <w:tcPr>
            <w:tcW w:w="745"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64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663"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7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659"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5"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22102</w:t>
            </w:r>
          </w:p>
        </w:tc>
        <w:tc>
          <w:tcPr>
            <w:tcW w:w="2846"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住房改革支出</w:t>
            </w:r>
          </w:p>
        </w:tc>
        <w:tc>
          <w:tcPr>
            <w:tcW w:w="93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77.20</w:t>
            </w:r>
          </w:p>
        </w:tc>
        <w:tc>
          <w:tcPr>
            <w:tcW w:w="94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77.20</w:t>
            </w:r>
          </w:p>
        </w:tc>
        <w:tc>
          <w:tcPr>
            <w:tcW w:w="745"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64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663"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7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659"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5"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2210201</w:t>
            </w:r>
          </w:p>
        </w:tc>
        <w:tc>
          <w:tcPr>
            <w:tcW w:w="2846"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住房公积金</w:t>
            </w:r>
          </w:p>
        </w:tc>
        <w:tc>
          <w:tcPr>
            <w:tcW w:w="93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77.20</w:t>
            </w:r>
          </w:p>
        </w:tc>
        <w:tc>
          <w:tcPr>
            <w:tcW w:w="94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77.20</w:t>
            </w:r>
          </w:p>
        </w:tc>
        <w:tc>
          <w:tcPr>
            <w:tcW w:w="745"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64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663"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7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659"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026" w:type="dxa"/>
            <w:gridSpan w:val="9"/>
            <w:tcBorders>
              <w:left w:val="nil"/>
              <w:bottom w:val="nil"/>
              <w:right w:val="nil"/>
              <w:insideH w:val="single" w:sz="4" w:space="0"/>
              <w:insideV w:val="single" w:sz="4" w:space="0"/>
            </w:tcBorders>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themeColor="text1"/>
          <w:kern w:val="0"/>
          <w:sz w:val="20"/>
          <w:szCs w:val="20"/>
          <w:lang w:val="en-US" w:eastAsia="zh-CN"/>
          <w14:textFill>
            <w14:solidFill>
              <w14:schemeClr w14:val="tx1"/>
            </w14:solidFill>
          </w14:textFill>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themeColor="text1"/>
          <w:kern w:val="0"/>
          <w:sz w:val="20"/>
          <w:szCs w:val="20"/>
          <w:lang w:val="en-US" w:eastAsia="zh-CN"/>
          <w14:textFill>
            <w14:solidFill>
              <w14:schemeClr w14:val="tx1"/>
            </w14:solidFill>
          </w14:textFill>
        </w:rPr>
      </w:pPr>
      <w:r>
        <w:rPr>
          <w:rFonts w:hint="eastAsia" w:ascii="华文中宋" w:hAnsi="华文中宋" w:eastAsia="华文中宋" w:cs="华文中宋"/>
          <w:color w:val="000000" w:themeColor="text1"/>
          <w:kern w:val="0"/>
          <w:sz w:val="32"/>
          <w:szCs w:val="32"/>
          <w:lang w:val="en-US" w:eastAsia="zh-CN"/>
          <w14:textFill>
            <w14:solidFill>
              <w14:schemeClr w14:val="tx1"/>
            </w14:solidFill>
          </w14:textFill>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rPr>
                <w:color w:val="000000" w:themeColor="text1"/>
                <w:sz w:val="18"/>
                <w:szCs w:val="18"/>
                <w14:textFill>
                  <w14:solidFill>
                    <w14:schemeClr w14:val="tx1"/>
                  </w14:solidFill>
                </w14:textFill>
              </w:rPr>
            </w:pPr>
            <w:r>
              <w:rPr>
                <w:rFonts w:ascii="宋体" w:hAnsi="宋体" w:eastAsia="宋体" w:cs="宋体"/>
                <w:color w:val="000000" w:themeColor="text1"/>
                <w:sz w:val="18"/>
                <w:szCs w:val="18"/>
                <w14:textFill>
                  <w14:solidFill>
                    <w14:schemeClr w14:val="tx1"/>
                  </w14:solidFill>
                </w14:textFill>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rPr>
                <w:color w:val="000000" w:themeColor="text1"/>
                <w:sz w:val="18"/>
                <w:szCs w:val="18"/>
                <w14:textFill>
                  <w14:solidFill>
                    <w14:schemeClr w14:val="tx1"/>
                  </w14:solidFill>
                </w14:textFill>
              </w:rPr>
            </w:pPr>
            <w:r>
              <w:rPr>
                <w:rFonts w:ascii="宋体" w:hAnsi="宋体" w:eastAsia="宋体" w:cs="宋体"/>
                <w:color w:val="000000" w:themeColor="text1"/>
                <w:sz w:val="18"/>
                <w:szCs w:val="18"/>
                <w14:textFill>
                  <w14:solidFill>
                    <w14:schemeClr w14:val="tx1"/>
                  </w14:solidFill>
                </w14:textFill>
              </w:rPr>
              <w:t>部门：中共郸城县纪律检查委员会</w:t>
            </w:r>
          </w:p>
        </w:tc>
        <w:tc>
          <w:tcPr>
            <w:tcW w:w="2000" w:type="dxa"/>
          </w:tcPr>
          <w:p>
            <w:pPr>
              <w:jc w:val="center"/>
              <w:rPr>
                <w:color w:val="000000" w:themeColor="text1"/>
                <w:sz w:val="18"/>
                <w:szCs w:val="18"/>
                <w14:textFill>
                  <w14:solidFill>
                    <w14:schemeClr w14:val="tx1"/>
                  </w14:solidFill>
                </w14:textFill>
              </w:rPr>
            </w:pPr>
            <w:r>
              <w:rPr>
                <w:rFonts w:ascii="宋体" w:hAnsi="宋体" w:eastAsia="宋体" w:cs="宋体"/>
                <w:color w:val="000000" w:themeColor="text1"/>
                <w:sz w:val="18"/>
                <w:szCs w:val="18"/>
                <w14:textFill>
                  <w14:solidFill>
                    <w14:schemeClr w14:val="tx1"/>
                  </w14:solidFill>
                </w14:textFill>
              </w:rPr>
              <w:t>2024年度</w:t>
            </w:r>
          </w:p>
        </w:tc>
        <w:tc>
          <w:tcPr>
            <w:tcW w:w="3513" w:type="dxa"/>
          </w:tcPr>
          <w:p>
            <w:pPr>
              <w:jc w:val="right"/>
              <w:rPr>
                <w:rFonts w:hint="eastAsia" w:eastAsia="宋体"/>
                <w:color w:val="000000" w:themeColor="text1"/>
                <w:sz w:val="18"/>
                <w:szCs w:val="18"/>
                <w:lang w:eastAsia="zh-CN"/>
                <w14:textFill>
                  <w14:solidFill>
                    <w14:schemeClr w14:val="tx1"/>
                  </w14:solidFill>
                </w14:textFill>
              </w:rPr>
            </w:pPr>
            <w:r>
              <w:rPr>
                <w:rFonts w:hint="eastAsia" w:ascii="宋体" w:hAnsi="宋体" w:cs="宋体"/>
                <w:color w:val="000000" w:themeColor="text1"/>
                <w:sz w:val="18"/>
                <w:szCs w:val="18"/>
                <w:lang w:eastAsia="zh-CN"/>
                <w14:textFill>
                  <w14:solidFill>
                    <w14:schemeClr w14:val="tx1"/>
                  </w14:solidFill>
                </w14:textFill>
              </w:rPr>
              <w:t>金额单位：万元</w:t>
            </w:r>
          </w:p>
        </w:tc>
      </w:tr>
    </w:tbl>
    <w:p>
      <w:pPr>
        <w:snapToGrid w:val="0"/>
        <w:spacing w:before="0" w:after="0" w:line="0" w:lineRule="auto"/>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58"/>
        <w:gridCol w:w="2722"/>
        <w:gridCol w:w="900"/>
        <w:gridCol w:w="900"/>
        <w:gridCol w:w="900"/>
        <w:gridCol w:w="900"/>
        <w:gridCol w:w="900"/>
        <w:gridCol w:w="84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项目</w:t>
            </w:r>
          </w:p>
        </w:tc>
        <w:tc>
          <w:tcPr>
            <w:tcW w:w="900" w:type="dxa"/>
            <w:vMerge w:val="restart"/>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本年支出合计</w:t>
            </w:r>
          </w:p>
        </w:tc>
        <w:tc>
          <w:tcPr>
            <w:tcW w:w="900" w:type="dxa"/>
            <w:vMerge w:val="restart"/>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基本支出</w:t>
            </w:r>
          </w:p>
        </w:tc>
        <w:tc>
          <w:tcPr>
            <w:tcW w:w="900" w:type="dxa"/>
            <w:vMerge w:val="restart"/>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项目支出</w:t>
            </w:r>
          </w:p>
        </w:tc>
        <w:tc>
          <w:tcPr>
            <w:tcW w:w="900" w:type="dxa"/>
            <w:vMerge w:val="restart"/>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上缴上级支出</w:t>
            </w:r>
          </w:p>
        </w:tc>
        <w:tc>
          <w:tcPr>
            <w:tcW w:w="900" w:type="dxa"/>
            <w:vMerge w:val="restart"/>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经营支出</w:t>
            </w:r>
          </w:p>
        </w:tc>
        <w:tc>
          <w:tcPr>
            <w:tcW w:w="846" w:type="dxa"/>
            <w:vMerge w:val="restart"/>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对附属单位补助支出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58" w:type="dxa"/>
            <w:vMerge w:val="restart"/>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功能分类</w:t>
            </w:r>
          </w:p>
          <w:p>
            <w:pPr>
              <w:shd w:val="clear" w:color="auto" w:fill="auto"/>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科目编码</w:t>
            </w:r>
          </w:p>
        </w:tc>
        <w:tc>
          <w:tcPr>
            <w:tcW w:w="2722" w:type="dxa"/>
            <w:vMerge w:val="restart"/>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科目名称</w:t>
            </w:r>
          </w:p>
        </w:tc>
        <w:tc>
          <w:tcPr>
            <w:tcW w:w="900" w:type="dxa"/>
            <w:vMerge w:val="continue"/>
            <w:vAlign w:val="center"/>
          </w:tcPr>
          <w:p>
            <w:pPr>
              <w:rPr>
                <w:color w:val="000000" w:themeColor="text1"/>
                <w:sz w:val="18"/>
                <w:szCs w:val="18"/>
                <w14:textFill>
                  <w14:solidFill>
                    <w14:schemeClr w14:val="tx1"/>
                  </w14:solidFill>
                </w14:textFill>
              </w:rPr>
            </w:pPr>
          </w:p>
        </w:tc>
        <w:tc>
          <w:tcPr>
            <w:tcW w:w="900" w:type="dxa"/>
            <w:vMerge w:val="continue"/>
            <w:vAlign w:val="center"/>
          </w:tcPr>
          <w:p>
            <w:pPr>
              <w:rPr>
                <w:color w:val="000000" w:themeColor="text1"/>
                <w:sz w:val="18"/>
                <w:szCs w:val="18"/>
                <w14:textFill>
                  <w14:solidFill>
                    <w14:schemeClr w14:val="tx1"/>
                  </w14:solidFill>
                </w14:textFill>
              </w:rPr>
            </w:pPr>
          </w:p>
        </w:tc>
        <w:tc>
          <w:tcPr>
            <w:tcW w:w="900" w:type="dxa"/>
            <w:vMerge w:val="continue"/>
            <w:vAlign w:val="center"/>
          </w:tcPr>
          <w:p>
            <w:pPr>
              <w:rPr>
                <w:color w:val="000000" w:themeColor="text1"/>
                <w:sz w:val="18"/>
                <w:szCs w:val="18"/>
                <w14:textFill>
                  <w14:solidFill>
                    <w14:schemeClr w14:val="tx1"/>
                  </w14:solidFill>
                </w14:textFill>
              </w:rPr>
            </w:pPr>
          </w:p>
        </w:tc>
        <w:tc>
          <w:tcPr>
            <w:tcW w:w="900" w:type="dxa"/>
            <w:vMerge w:val="continue"/>
            <w:vAlign w:val="center"/>
          </w:tcPr>
          <w:p>
            <w:pPr>
              <w:rPr>
                <w:color w:val="000000" w:themeColor="text1"/>
                <w:sz w:val="18"/>
                <w:szCs w:val="18"/>
                <w14:textFill>
                  <w14:solidFill>
                    <w14:schemeClr w14:val="tx1"/>
                  </w14:solidFill>
                </w14:textFill>
              </w:rPr>
            </w:pPr>
          </w:p>
        </w:tc>
        <w:tc>
          <w:tcPr>
            <w:tcW w:w="900" w:type="dxa"/>
            <w:vMerge w:val="continue"/>
            <w:vAlign w:val="center"/>
          </w:tcPr>
          <w:p>
            <w:pPr>
              <w:rPr>
                <w:color w:val="000000" w:themeColor="text1"/>
                <w:sz w:val="18"/>
                <w:szCs w:val="18"/>
                <w14:textFill>
                  <w14:solidFill>
                    <w14:schemeClr w14:val="tx1"/>
                  </w14:solidFill>
                </w14:textFill>
              </w:rPr>
            </w:pPr>
          </w:p>
        </w:tc>
        <w:tc>
          <w:tcPr>
            <w:tcW w:w="846" w:type="dxa"/>
            <w:vMerge w:val="continue"/>
            <w:vAlign w:val="center"/>
          </w:tcPr>
          <w:p>
            <w:pPr>
              <w:rPr>
                <w:color w:val="000000" w:themeColor="text1"/>
                <w:sz w:val="18"/>
                <w:szCs w:val="18"/>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58" w:type="dxa"/>
            <w:vMerge w:val="continue"/>
            <w:vAlign w:val="center"/>
          </w:tcPr>
          <w:p>
            <w:pPr>
              <w:rPr>
                <w:color w:val="000000" w:themeColor="text1"/>
                <w:sz w:val="18"/>
                <w:szCs w:val="18"/>
                <w14:textFill>
                  <w14:solidFill>
                    <w14:schemeClr w14:val="tx1"/>
                  </w14:solidFill>
                </w14:textFill>
              </w:rPr>
            </w:pPr>
          </w:p>
        </w:tc>
        <w:tc>
          <w:tcPr>
            <w:tcW w:w="2722" w:type="dxa"/>
            <w:vMerge w:val="continue"/>
            <w:vAlign w:val="center"/>
          </w:tcPr>
          <w:p>
            <w:pPr>
              <w:rPr>
                <w:color w:val="000000" w:themeColor="text1"/>
                <w:sz w:val="18"/>
                <w:szCs w:val="18"/>
                <w14:textFill>
                  <w14:solidFill>
                    <w14:schemeClr w14:val="tx1"/>
                  </w14:solidFill>
                </w14:textFill>
              </w:rPr>
            </w:pPr>
          </w:p>
        </w:tc>
        <w:tc>
          <w:tcPr>
            <w:tcW w:w="900" w:type="dxa"/>
            <w:vMerge w:val="continue"/>
            <w:vAlign w:val="center"/>
          </w:tcPr>
          <w:p>
            <w:pPr>
              <w:rPr>
                <w:color w:val="000000" w:themeColor="text1"/>
                <w:sz w:val="18"/>
                <w:szCs w:val="18"/>
                <w14:textFill>
                  <w14:solidFill>
                    <w14:schemeClr w14:val="tx1"/>
                  </w14:solidFill>
                </w14:textFill>
              </w:rPr>
            </w:pPr>
          </w:p>
        </w:tc>
        <w:tc>
          <w:tcPr>
            <w:tcW w:w="900" w:type="dxa"/>
            <w:vMerge w:val="continue"/>
            <w:vAlign w:val="center"/>
          </w:tcPr>
          <w:p>
            <w:pPr>
              <w:rPr>
                <w:color w:val="000000" w:themeColor="text1"/>
                <w:sz w:val="18"/>
                <w:szCs w:val="18"/>
                <w14:textFill>
                  <w14:solidFill>
                    <w14:schemeClr w14:val="tx1"/>
                  </w14:solidFill>
                </w14:textFill>
              </w:rPr>
            </w:pPr>
          </w:p>
        </w:tc>
        <w:tc>
          <w:tcPr>
            <w:tcW w:w="900" w:type="dxa"/>
            <w:vMerge w:val="continue"/>
            <w:vAlign w:val="center"/>
          </w:tcPr>
          <w:p>
            <w:pPr>
              <w:rPr>
                <w:color w:val="000000" w:themeColor="text1"/>
                <w:sz w:val="18"/>
                <w:szCs w:val="18"/>
                <w14:textFill>
                  <w14:solidFill>
                    <w14:schemeClr w14:val="tx1"/>
                  </w14:solidFill>
                </w14:textFill>
              </w:rPr>
            </w:pPr>
          </w:p>
        </w:tc>
        <w:tc>
          <w:tcPr>
            <w:tcW w:w="900" w:type="dxa"/>
            <w:vMerge w:val="continue"/>
            <w:vAlign w:val="center"/>
          </w:tcPr>
          <w:p>
            <w:pPr>
              <w:rPr>
                <w:color w:val="000000" w:themeColor="text1"/>
                <w:sz w:val="18"/>
                <w:szCs w:val="18"/>
                <w14:textFill>
                  <w14:solidFill>
                    <w14:schemeClr w14:val="tx1"/>
                  </w14:solidFill>
                </w14:textFill>
              </w:rPr>
            </w:pPr>
          </w:p>
        </w:tc>
        <w:tc>
          <w:tcPr>
            <w:tcW w:w="900" w:type="dxa"/>
            <w:vMerge w:val="continue"/>
            <w:vAlign w:val="center"/>
          </w:tcPr>
          <w:p>
            <w:pPr>
              <w:rPr>
                <w:color w:val="000000" w:themeColor="text1"/>
                <w:sz w:val="18"/>
                <w:szCs w:val="18"/>
                <w14:textFill>
                  <w14:solidFill>
                    <w14:schemeClr w14:val="tx1"/>
                  </w14:solidFill>
                </w14:textFill>
              </w:rPr>
            </w:pPr>
          </w:p>
        </w:tc>
        <w:tc>
          <w:tcPr>
            <w:tcW w:w="846" w:type="dxa"/>
            <w:vMerge w:val="continue"/>
            <w:vAlign w:val="center"/>
          </w:tcPr>
          <w:p>
            <w:pPr>
              <w:rPr>
                <w:color w:val="000000" w:themeColor="text1"/>
                <w:sz w:val="18"/>
                <w:szCs w:val="18"/>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58" w:type="dxa"/>
            <w:vMerge w:val="continue"/>
            <w:vAlign w:val="center"/>
          </w:tcPr>
          <w:p>
            <w:pPr>
              <w:rPr>
                <w:color w:val="000000" w:themeColor="text1"/>
                <w:sz w:val="18"/>
                <w:szCs w:val="18"/>
                <w14:textFill>
                  <w14:solidFill>
                    <w14:schemeClr w14:val="tx1"/>
                  </w14:solidFill>
                </w14:textFill>
              </w:rPr>
            </w:pPr>
          </w:p>
        </w:tc>
        <w:tc>
          <w:tcPr>
            <w:tcW w:w="2722" w:type="dxa"/>
            <w:vMerge w:val="continue"/>
            <w:vAlign w:val="center"/>
          </w:tcPr>
          <w:p>
            <w:pPr>
              <w:rPr>
                <w:color w:val="000000" w:themeColor="text1"/>
                <w:sz w:val="18"/>
                <w:szCs w:val="18"/>
                <w14:textFill>
                  <w14:solidFill>
                    <w14:schemeClr w14:val="tx1"/>
                  </w14:solidFill>
                </w14:textFill>
              </w:rPr>
            </w:pPr>
          </w:p>
        </w:tc>
        <w:tc>
          <w:tcPr>
            <w:tcW w:w="900" w:type="dxa"/>
            <w:vMerge w:val="continue"/>
            <w:vAlign w:val="center"/>
          </w:tcPr>
          <w:p>
            <w:pPr>
              <w:rPr>
                <w:color w:val="000000" w:themeColor="text1"/>
                <w:sz w:val="18"/>
                <w:szCs w:val="18"/>
                <w14:textFill>
                  <w14:solidFill>
                    <w14:schemeClr w14:val="tx1"/>
                  </w14:solidFill>
                </w14:textFill>
              </w:rPr>
            </w:pPr>
          </w:p>
        </w:tc>
        <w:tc>
          <w:tcPr>
            <w:tcW w:w="900" w:type="dxa"/>
            <w:vMerge w:val="continue"/>
            <w:vAlign w:val="center"/>
          </w:tcPr>
          <w:p>
            <w:pPr>
              <w:rPr>
                <w:color w:val="000000" w:themeColor="text1"/>
                <w:sz w:val="18"/>
                <w:szCs w:val="18"/>
                <w14:textFill>
                  <w14:solidFill>
                    <w14:schemeClr w14:val="tx1"/>
                  </w14:solidFill>
                </w14:textFill>
              </w:rPr>
            </w:pPr>
          </w:p>
        </w:tc>
        <w:tc>
          <w:tcPr>
            <w:tcW w:w="900" w:type="dxa"/>
            <w:vMerge w:val="continue"/>
            <w:vAlign w:val="center"/>
          </w:tcPr>
          <w:p>
            <w:pPr>
              <w:rPr>
                <w:color w:val="000000" w:themeColor="text1"/>
                <w:sz w:val="18"/>
                <w:szCs w:val="18"/>
                <w14:textFill>
                  <w14:solidFill>
                    <w14:schemeClr w14:val="tx1"/>
                  </w14:solidFill>
                </w14:textFill>
              </w:rPr>
            </w:pPr>
          </w:p>
        </w:tc>
        <w:tc>
          <w:tcPr>
            <w:tcW w:w="900" w:type="dxa"/>
            <w:vMerge w:val="continue"/>
            <w:vAlign w:val="center"/>
          </w:tcPr>
          <w:p>
            <w:pPr>
              <w:rPr>
                <w:color w:val="000000" w:themeColor="text1"/>
                <w:sz w:val="18"/>
                <w:szCs w:val="18"/>
                <w14:textFill>
                  <w14:solidFill>
                    <w14:schemeClr w14:val="tx1"/>
                  </w14:solidFill>
                </w14:textFill>
              </w:rPr>
            </w:pPr>
          </w:p>
        </w:tc>
        <w:tc>
          <w:tcPr>
            <w:tcW w:w="900" w:type="dxa"/>
            <w:vMerge w:val="continue"/>
            <w:vAlign w:val="center"/>
          </w:tcPr>
          <w:p>
            <w:pPr>
              <w:rPr>
                <w:color w:val="000000" w:themeColor="text1"/>
                <w:sz w:val="18"/>
                <w:szCs w:val="18"/>
                <w14:textFill>
                  <w14:solidFill>
                    <w14:schemeClr w14:val="tx1"/>
                  </w14:solidFill>
                </w14:textFill>
              </w:rPr>
            </w:pPr>
          </w:p>
        </w:tc>
        <w:tc>
          <w:tcPr>
            <w:tcW w:w="846" w:type="dxa"/>
            <w:vMerge w:val="continue"/>
            <w:vAlign w:val="center"/>
          </w:tcPr>
          <w:p>
            <w:pPr>
              <w:rPr>
                <w:color w:val="000000" w:themeColor="text1"/>
                <w:sz w:val="18"/>
                <w:szCs w:val="18"/>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栏次</w:t>
            </w:r>
          </w:p>
        </w:tc>
        <w:tc>
          <w:tcPr>
            <w:tcW w:w="90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w:t>
            </w:r>
          </w:p>
        </w:tc>
        <w:tc>
          <w:tcPr>
            <w:tcW w:w="90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w:t>
            </w:r>
          </w:p>
        </w:tc>
        <w:tc>
          <w:tcPr>
            <w:tcW w:w="90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w:t>
            </w:r>
          </w:p>
        </w:tc>
        <w:tc>
          <w:tcPr>
            <w:tcW w:w="90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4</w:t>
            </w:r>
          </w:p>
        </w:tc>
        <w:tc>
          <w:tcPr>
            <w:tcW w:w="90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5</w:t>
            </w:r>
          </w:p>
        </w:tc>
        <w:tc>
          <w:tcPr>
            <w:tcW w:w="846"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合计</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2,501.75</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1,477.63</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1,024.12</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84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58"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201</w:t>
            </w:r>
          </w:p>
        </w:tc>
        <w:tc>
          <w:tcPr>
            <w:tcW w:w="2722"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一般公共服务支出</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2,206.17</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1,182.04</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1,024.12</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84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58"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20111</w:t>
            </w:r>
          </w:p>
        </w:tc>
        <w:tc>
          <w:tcPr>
            <w:tcW w:w="2722"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纪检监察事务</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2,206.17</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1,182.04</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1,024.12</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84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58"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2011101</w:t>
            </w:r>
          </w:p>
        </w:tc>
        <w:tc>
          <w:tcPr>
            <w:tcW w:w="2722"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行政运行</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979.52</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979.52</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84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58"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2011102</w:t>
            </w:r>
          </w:p>
        </w:tc>
        <w:tc>
          <w:tcPr>
            <w:tcW w:w="2722"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一般行政管理事务</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801.72</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801.72</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84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58"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2011104</w:t>
            </w:r>
          </w:p>
        </w:tc>
        <w:tc>
          <w:tcPr>
            <w:tcW w:w="2722"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大案要案查处</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222.41</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222.41</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84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58"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2011150</w:t>
            </w:r>
          </w:p>
        </w:tc>
        <w:tc>
          <w:tcPr>
            <w:tcW w:w="2722"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事业运行</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173.52</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173.52</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84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58"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2011199</w:t>
            </w:r>
          </w:p>
        </w:tc>
        <w:tc>
          <w:tcPr>
            <w:tcW w:w="2722"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其他纪检监察事务支出</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29.00</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29.00</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84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58"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208</w:t>
            </w:r>
          </w:p>
        </w:tc>
        <w:tc>
          <w:tcPr>
            <w:tcW w:w="2722"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社会保障和就业支出</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146.66</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146.66</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84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58"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20805</w:t>
            </w:r>
          </w:p>
        </w:tc>
        <w:tc>
          <w:tcPr>
            <w:tcW w:w="2722"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行政事业单位养老支出</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143.66</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143.66</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84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512" w:hRule="exact"/>
          <w:jc w:val="center"/>
        </w:trPr>
        <w:tc>
          <w:tcPr>
            <w:tcW w:w="958"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2080505</w:t>
            </w:r>
          </w:p>
        </w:tc>
        <w:tc>
          <w:tcPr>
            <w:tcW w:w="2722"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机关事业单位基本养老保险缴费支出</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143.66</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143.66</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84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58"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20899</w:t>
            </w:r>
          </w:p>
        </w:tc>
        <w:tc>
          <w:tcPr>
            <w:tcW w:w="2722"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其他社会保障和就业支出</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3.00</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3.00</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84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58"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2089999</w:t>
            </w:r>
          </w:p>
        </w:tc>
        <w:tc>
          <w:tcPr>
            <w:tcW w:w="2722"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其他社会保障和就业支出</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3.00</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3.00</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84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58"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210</w:t>
            </w:r>
          </w:p>
        </w:tc>
        <w:tc>
          <w:tcPr>
            <w:tcW w:w="2722"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卫生健康支出</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71.72</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71.72</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84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58"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21011</w:t>
            </w:r>
          </w:p>
        </w:tc>
        <w:tc>
          <w:tcPr>
            <w:tcW w:w="2722"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行政事业单位医疗</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71.72</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71.72</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84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58"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2101101</w:t>
            </w:r>
          </w:p>
        </w:tc>
        <w:tc>
          <w:tcPr>
            <w:tcW w:w="2722"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行政单位医疗</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50.40</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50.40</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84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58"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2101102</w:t>
            </w:r>
          </w:p>
        </w:tc>
        <w:tc>
          <w:tcPr>
            <w:tcW w:w="2722"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事业单位医疗</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10.81</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10.81</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84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58"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2101199</w:t>
            </w:r>
          </w:p>
        </w:tc>
        <w:tc>
          <w:tcPr>
            <w:tcW w:w="2722"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其他行政事业单位医疗支出</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10.51</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10.51</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84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58"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221</w:t>
            </w:r>
          </w:p>
        </w:tc>
        <w:tc>
          <w:tcPr>
            <w:tcW w:w="2722"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住房保障支出</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77.20</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77.20</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84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58"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22102</w:t>
            </w:r>
          </w:p>
        </w:tc>
        <w:tc>
          <w:tcPr>
            <w:tcW w:w="2722"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住房改革支出</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77.20</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77.20</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84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58"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2210201</w:t>
            </w:r>
          </w:p>
        </w:tc>
        <w:tc>
          <w:tcPr>
            <w:tcW w:w="2722"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住房公积金</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77.20</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77.20</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9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84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26" w:type="dxa"/>
            <w:gridSpan w:val="8"/>
            <w:tcBorders>
              <w:left w:val="nil"/>
              <w:bottom w:val="nil"/>
              <w:right w:val="nil"/>
              <w:insideH w:val="single" w:sz="4" w:space="0"/>
              <w:insideV w:val="single" w:sz="4" w:space="0"/>
            </w:tcBorders>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themeColor="text1"/>
          <w:kern w:val="0"/>
          <w:sz w:val="20"/>
          <w:szCs w:val="20"/>
          <w:lang w:val="en-US" w:eastAsia="zh-CN"/>
          <w14:textFill>
            <w14:solidFill>
              <w14:schemeClr w14:val="tx1"/>
            </w14:solidFill>
          </w14:textFill>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themeColor="text1"/>
          <w:kern w:val="0"/>
          <w:sz w:val="20"/>
          <w:szCs w:val="20"/>
          <w:lang w:val="en-US" w:eastAsia="zh-CN"/>
          <w14:textFill>
            <w14:solidFill>
              <w14:schemeClr w14:val="tx1"/>
            </w14:solidFill>
          </w14:textFill>
        </w:rPr>
      </w:pPr>
      <w:r>
        <w:rPr>
          <w:rFonts w:hint="eastAsia" w:ascii="华文中宋" w:hAnsi="华文中宋" w:eastAsia="华文中宋" w:cs="华文中宋"/>
          <w:color w:val="000000" w:themeColor="text1"/>
          <w:kern w:val="0"/>
          <w:sz w:val="32"/>
          <w:szCs w:val="32"/>
          <w:lang w:val="en-US" w:eastAsia="zh-CN"/>
          <w14:textFill>
            <w14:solidFill>
              <w14:schemeClr w14:val="tx1"/>
            </w14:solidFill>
          </w14:textFill>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rPr>
                <w:color w:val="000000" w:themeColor="text1"/>
                <w:sz w:val="18"/>
                <w:szCs w:val="18"/>
                <w14:textFill>
                  <w14:solidFill>
                    <w14:schemeClr w14:val="tx1"/>
                  </w14:solidFill>
                </w14:textFill>
              </w:rPr>
            </w:pPr>
            <w:r>
              <w:rPr>
                <w:rFonts w:ascii="宋体" w:hAnsi="宋体" w:eastAsia="宋体" w:cs="宋体"/>
                <w:color w:val="000000" w:themeColor="text1"/>
                <w:sz w:val="18"/>
                <w:szCs w:val="18"/>
                <w14:textFill>
                  <w14:solidFill>
                    <w14:schemeClr w14:val="tx1"/>
                  </w14:solidFill>
                </w14:textFill>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rPr>
                <w:color w:val="000000" w:themeColor="text1"/>
                <w:sz w:val="18"/>
                <w:szCs w:val="18"/>
                <w14:textFill>
                  <w14:solidFill>
                    <w14:schemeClr w14:val="tx1"/>
                  </w14:solidFill>
                </w14:textFill>
              </w:rPr>
            </w:pPr>
            <w:r>
              <w:rPr>
                <w:rFonts w:ascii="宋体" w:hAnsi="宋体" w:eastAsia="宋体" w:cs="宋体"/>
                <w:color w:val="000000" w:themeColor="text1"/>
                <w:sz w:val="18"/>
                <w:szCs w:val="18"/>
                <w14:textFill>
                  <w14:solidFill>
                    <w14:schemeClr w14:val="tx1"/>
                  </w14:solidFill>
                </w14:textFill>
              </w:rPr>
              <w:t>部门：中共郸城县纪律检查委员会</w:t>
            </w:r>
          </w:p>
        </w:tc>
        <w:tc>
          <w:tcPr>
            <w:tcW w:w="2000" w:type="dxa"/>
          </w:tcPr>
          <w:p>
            <w:pPr>
              <w:jc w:val="center"/>
              <w:rPr>
                <w:color w:val="000000" w:themeColor="text1"/>
                <w:sz w:val="18"/>
                <w:szCs w:val="18"/>
                <w14:textFill>
                  <w14:solidFill>
                    <w14:schemeClr w14:val="tx1"/>
                  </w14:solidFill>
                </w14:textFill>
              </w:rPr>
            </w:pPr>
            <w:r>
              <w:rPr>
                <w:rFonts w:ascii="宋体" w:hAnsi="宋体" w:eastAsia="宋体" w:cs="宋体"/>
                <w:color w:val="000000" w:themeColor="text1"/>
                <w:sz w:val="18"/>
                <w:szCs w:val="18"/>
                <w14:textFill>
                  <w14:solidFill>
                    <w14:schemeClr w14:val="tx1"/>
                  </w14:solidFill>
                </w14:textFill>
              </w:rPr>
              <w:t>2024年度</w:t>
            </w:r>
          </w:p>
        </w:tc>
        <w:tc>
          <w:tcPr>
            <w:tcW w:w="5412" w:type="dxa"/>
          </w:tcPr>
          <w:p>
            <w:pPr>
              <w:jc w:val="right"/>
              <w:rPr>
                <w:rFonts w:hint="eastAsia" w:eastAsia="宋体"/>
                <w:color w:val="000000" w:themeColor="text1"/>
                <w:sz w:val="18"/>
                <w:szCs w:val="18"/>
                <w:lang w:eastAsia="zh-CN"/>
                <w14:textFill>
                  <w14:solidFill>
                    <w14:schemeClr w14:val="tx1"/>
                  </w14:solidFill>
                </w14:textFill>
              </w:rPr>
            </w:pPr>
            <w:r>
              <w:rPr>
                <w:rFonts w:hint="eastAsia" w:ascii="宋体" w:hAnsi="宋体" w:cs="宋体"/>
                <w:color w:val="000000" w:themeColor="text1"/>
                <w:sz w:val="18"/>
                <w:szCs w:val="18"/>
                <w:lang w:eastAsia="zh-CN"/>
                <w14:textFill>
                  <w14:solidFill>
                    <w14:schemeClr w14:val="tx1"/>
                  </w14:solidFill>
                </w14:textFill>
              </w:rPr>
              <w:t>金额单位：万元</w:t>
            </w:r>
          </w:p>
        </w:tc>
      </w:tr>
    </w:tbl>
    <w:p>
      <w:pPr>
        <w:snapToGrid w:val="0"/>
        <w:spacing w:before="0" w:after="0" w:line="0" w:lineRule="auto"/>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2680"/>
        <w:gridCol w:w="460"/>
        <w:gridCol w:w="1300"/>
        <w:gridCol w:w="2826"/>
        <w:gridCol w:w="509"/>
        <w:gridCol w:w="1105"/>
        <w:gridCol w:w="1300"/>
        <w:gridCol w:w="1300"/>
        <w:gridCol w:w="134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4440" w:type="dxa"/>
            <w:gridSpan w:val="3"/>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收     入</w:t>
            </w:r>
          </w:p>
        </w:tc>
        <w:tc>
          <w:tcPr>
            <w:tcW w:w="8384" w:type="dxa"/>
            <w:gridSpan w:val="6"/>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支     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19" w:hRule="exact"/>
          <w:jc w:val="center"/>
        </w:trPr>
        <w:tc>
          <w:tcPr>
            <w:tcW w:w="2680" w:type="dxa"/>
            <w:vMerge w:val="restart"/>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项目</w:t>
            </w:r>
          </w:p>
        </w:tc>
        <w:tc>
          <w:tcPr>
            <w:tcW w:w="460" w:type="dxa"/>
            <w:vMerge w:val="restart"/>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行次</w:t>
            </w:r>
          </w:p>
        </w:tc>
        <w:tc>
          <w:tcPr>
            <w:tcW w:w="1300" w:type="dxa"/>
            <w:vMerge w:val="restart"/>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金额</w:t>
            </w:r>
          </w:p>
        </w:tc>
        <w:tc>
          <w:tcPr>
            <w:tcW w:w="2826" w:type="dxa"/>
            <w:vMerge w:val="restart"/>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项目</w:t>
            </w:r>
          </w:p>
        </w:tc>
        <w:tc>
          <w:tcPr>
            <w:tcW w:w="509" w:type="dxa"/>
            <w:vMerge w:val="restart"/>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行次</w:t>
            </w:r>
          </w:p>
        </w:tc>
        <w:tc>
          <w:tcPr>
            <w:tcW w:w="1105" w:type="dxa"/>
            <w:vMerge w:val="restart"/>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合计</w:t>
            </w:r>
          </w:p>
        </w:tc>
        <w:tc>
          <w:tcPr>
            <w:tcW w:w="1300" w:type="dxa"/>
            <w:vMerge w:val="restart"/>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一般公共预算财政拨款</w:t>
            </w:r>
          </w:p>
        </w:tc>
        <w:tc>
          <w:tcPr>
            <w:tcW w:w="1300" w:type="dxa"/>
            <w:vMerge w:val="restart"/>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政府性基金预算财政拨款</w:t>
            </w:r>
          </w:p>
        </w:tc>
        <w:tc>
          <w:tcPr>
            <w:tcW w:w="1344" w:type="dxa"/>
            <w:vMerge w:val="restart"/>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国有资本经营预算财政拨款</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65" w:hRule="exact"/>
          <w:jc w:val="center"/>
        </w:trPr>
        <w:tc>
          <w:tcPr>
            <w:tcW w:w="2680" w:type="dxa"/>
            <w:vMerge w:val="continue"/>
            <w:vAlign w:val="center"/>
          </w:tcPr>
          <w:p>
            <w:pPr>
              <w:rPr>
                <w:color w:val="000000" w:themeColor="text1"/>
                <w:sz w:val="18"/>
                <w:szCs w:val="18"/>
                <w14:textFill>
                  <w14:solidFill>
                    <w14:schemeClr w14:val="tx1"/>
                  </w14:solidFill>
                </w14:textFill>
              </w:rPr>
            </w:pPr>
          </w:p>
        </w:tc>
        <w:tc>
          <w:tcPr>
            <w:tcW w:w="460" w:type="dxa"/>
            <w:vMerge w:val="continue"/>
            <w:vAlign w:val="center"/>
          </w:tcPr>
          <w:p>
            <w:pPr>
              <w:rPr>
                <w:color w:val="000000" w:themeColor="text1"/>
                <w:sz w:val="18"/>
                <w:szCs w:val="18"/>
                <w14:textFill>
                  <w14:solidFill>
                    <w14:schemeClr w14:val="tx1"/>
                  </w14:solidFill>
                </w14:textFill>
              </w:rPr>
            </w:pPr>
          </w:p>
        </w:tc>
        <w:tc>
          <w:tcPr>
            <w:tcW w:w="1300" w:type="dxa"/>
            <w:vMerge w:val="continue"/>
            <w:vAlign w:val="center"/>
          </w:tcPr>
          <w:p>
            <w:pPr>
              <w:rPr>
                <w:color w:val="000000" w:themeColor="text1"/>
                <w:sz w:val="18"/>
                <w:szCs w:val="18"/>
                <w14:textFill>
                  <w14:solidFill>
                    <w14:schemeClr w14:val="tx1"/>
                  </w14:solidFill>
                </w14:textFill>
              </w:rPr>
            </w:pPr>
          </w:p>
        </w:tc>
        <w:tc>
          <w:tcPr>
            <w:tcW w:w="2826" w:type="dxa"/>
            <w:vMerge w:val="continue"/>
            <w:vAlign w:val="center"/>
          </w:tcPr>
          <w:p>
            <w:pPr>
              <w:rPr>
                <w:color w:val="000000" w:themeColor="text1"/>
                <w:sz w:val="18"/>
                <w:szCs w:val="18"/>
                <w14:textFill>
                  <w14:solidFill>
                    <w14:schemeClr w14:val="tx1"/>
                  </w14:solidFill>
                </w14:textFill>
              </w:rPr>
            </w:pPr>
          </w:p>
        </w:tc>
        <w:tc>
          <w:tcPr>
            <w:tcW w:w="509" w:type="dxa"/>
            <w:vMerge w:val="continue"/>
            <w:vAlign w:val="center"/>
          </w:tcPr>
          <w:p>
            <w:pPr>
              <w:rPr>
                <w:color w:val="000000" w:themeColor="text1"/>
                <w:sz w:val="18"/>
                <w:szCs w:val="18"/>
                <w14:textFill>
                  <w14:solidFill>
                    <w14:schemeClr w14:val="tx1"/>
                  </w14:solidFill>
                </w14:textFill>
              </w:rPr>
            </w:pPr>
          </w:p>
        </w:tc>
        <w:tc>
          <w:tcPr>
            <w:tcW w:w="1105" w:type="dxa"/>
            <w:vMerge w:val="continue"/>
            <w:vAlign w:val="center"/>
          </w:tcPr>
          <w:p>
            <w:pPr>
              <w:rPr>
                <w:color w:val="000000" w:themeColor="text1"/>
                <w:sz w:val="18"/>
                <w:szCs w:val="18"/>
                <w14:textFill>
                  <w14:solidFill>
                    <w14:schemeClr w14:val="tx1"/>
                  </w14:solidFill>
                </w14:textFill>
              </w:rPr>
            </w:pPr>
          </w:p>
        </w:tc>
        <w:tc>
          <w:tcPr>
            <w:tcW w:w="1300" w:type="dxa"/>
            <w:vMerge w:val="continue"/>
            <w:vAlign w:val="center"/>
          </w:tcPr>
          <w:p>
            <w:pPr>
              <w:rPr>
                <w:color w:val="000000" w:themeColor="text1"/>
                <w:sz w:val="18"/>
                <w:szCs w:val="18"/>
                <w14:textFill>
                  <w14:solidFill>
                    <w14:schemeClr w14:val="tx1"/>
                  </w14:solidFill>
                </w14:textFill>
              </w:rPr>
            </w:pPr>
          </w:p>
        </w:tc>
        <w:tc>
          <w:tcPr>
            <w:tcW w:w="1300" w:type="dxa"/>
            <w:vMerge w:val="continue"/>
            <w:vAlign w:val="center"/>
          </w:tcPr>
          <w:p>
            <w:pPr>
              <w:rPr>
                <w:color w:val="000000" w:themeColor="text1"/>
                <w:sz w:val="18"/>
                <w:szCs w:val="18"/>
                <w14:textFill>
                  <w14:solidFill>
                    <w14:schemeClr w14:val="tx1"/>
                  </w14:solidFill>
                </w14:textFill>
              </w:rPr>
            </w:pPr>
          </w:p>
        </w:tc>
        <w:tc>
          <w:tcPr>
            <w:tcW w:w="1344" w:type="dxa"/>
            <w:vMerge w:val="continue"/>
            <w:vAlign w:val="center"/>
          </w:tcPr>
          <w:p>
            <w:pPr>
              <w:rPr>
                <w:color w:val="000000" w:themeColor="text1"/>
                <w:sz w:val="18"/>
                <w:szCs w:val="18"/>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栏次</w:t>
            </w:r>
          </w:p>
        </w:tc>
        <w:tc>
          <w:tcPr>
            <w:tcW w:w="460" w:type="dxa"/>
            <w:vAlign w:val="center"/>
          </w:tcPr>
          <w:p>
            <w:pPr>
              <w:rPr>
                <w:color w:val="000000" w:themeColor="text1"/>
                <w:sz w:val="18"/>
                <w:szCs w:val="18"/>
                <w14:textFill>
                  <w14:solidFill>
                    <w14:schemeClr w14:val="tx1"/>
                  </w14:solidFill>
                </w14:textFill>
              </w:rPr>
            </w:pPr>
          </w:p>
        </w:tc>
        <w:tc>
          <w:tcPr>
            <w:tcW w:w="130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w:t>
            </w:r>
          </w:p>
        </w:tc>
        <w:tc>
          <w:tcPr>
            <w:tcW w:w="2826"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栏次</w:t>
            </w:r>
          </w:p>
        </w:tc>
        <w:tc>
          <w:tcPr>
            <w:tcW w:w="509" w:type="dxa"/>
            <w:vAlign w:val="center"/>
          </w:tcPr>
          <w:p>
            <w:pPr>
              <w:rPr>
                <w:color w:val="000000" w:themeColor="text1"/>
                <w:sz w:val="18"/>
                <w:szCs w:val="18"/>
                <w14:textFill>
                  <w14:solidFill>
                    <w14:schemeClr w14:val="tx1"/>
                  </w14:solidFill>
                </w14:textFill>
              </w:rPr>
            </w:pPr>
          </w:p>
        </w:tc>
        <w:tc>
          <w:tcPr>
            <w:tcW w:w="1105"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w:t>
            </w:r>
          </w:p>
        </w:tc>
        <w:tc>
          <w:tcPr>
            <w:tcW w:w="130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w:t>
            </w:r>
          </w:p>
        </w:tc>
        <w:tc>
          <w:tcPr>
            <w:tcW w:w="130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4</w:t>
            </w:r>
          </w:p>
        </w:tc>
        <w:tc>
          <w:tcPr>
            <w:tcW w:w="1344"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一、一般公共预算财政拨款</w:t>
            </w:r>
          </w:p>
        </w:tc>
        <w:tc>
          <w:tcPr>
            <w:tcW w:w="46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2,501.75</w:t>
            </w:r>
          </w:p>
        </w:tc>
        <w:tc>
          <w:tcPr>
            <w:tcW w:w="2826"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一、一般公共服务支出</w:t>
            </w:r>
          </w:p>
        </w:tc>
        <w:tc>
          <w:tcPr>
            <w:tcW w:w="509"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33</w:t>
            </w:r>
          </w:p>
        </w:tc>
        <w:tc>
          <w:tcPr>
            <w:tcW w:w="1105"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2,206.17</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2,206.17</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4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二、政府性基金预算财政拨款</w:t>
            </w:r>
          </w:p>
        </w:tc>
        <w:tc>
          <w:tcPr>
            <w:tcW w:w="46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2826"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二、外交支出</w:t>
            </w:r>
          </w:p>
        </w:tc>
        <w:tc>
          <w:tcPr>
            <w:tcW w:w="509"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34</w:t>
            </w:r>
          </w:p>
        </w:tc>
        <w:tc>
          <w:tcPr>
            <w:tcW w:w="1105"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4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三、国有资本经营预算财政拨款</w:t>
            </w:r>
          </w:p>
        </w:tc>
        <w:tc>
          <w:tcPr>
            <w:tcW w:w="46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2826"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三、国防支出</w:t>
            </w:r>
          </w:p>
        </w:tc>
        <w:tc>
          <w:tcPr>
            <w:tcW w:w="509"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35</w:t>
            </w:r>
          </w:p>
        </w:tc>
        <w:tc>
          <w:tcPr>
            <w:tcW w:w="1105"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4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color w:val="000000" w:themeColor="text1"/>
                <w:sz w:val="18"/>
                <w:szCs w:val="18"/>
                <w14:textFill>
                  <w14:solidFill>
                    <w14:schemeClr w14:val="tx1"/>
                  </w14:solidFill>
                </w14:textFill>
              </w:rPr>
            </w:pPr>
          </w:p>
        </w:tc>
        <w:tc>
          <w:tcPr>
            <w:tcW w:w="46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4</w:t>
            </w:r>
          </w:p>
        </w:tc>
        <w:tc>
          <w:tcPr>
            <w:tcW w:w="1300" w:type="dxa"/>
            <w:vAlign w:val="center"/>
          </w:tcPr>
          <w:p>
            <w:pPr>
              <w:rPr>
                <w:color w:val="000000" w:themeColor="text1"/>
                <w:sz w:val="18"/>
                <w:szCs w:val="18"/>
                <w14:textFill>
                  <w14:solidFill>
                    <w14:schemeClr w14:val="tx1"/>
                  </w14:solidFill>
                </w14:textFill>
              </w:rPr>
            </w:pPr>
          </w:p>
        </w:tc>
        <w:tc>
          <w:tcPr>
            <w:tcW w:w="2826"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四、公共安全支出</w:t>
            </w:r>
          </w:p>
        </w:tc>
        <w:tc>
          <w:tcPr>
            <w:tcW w:w="509"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36</w:t>
            </w:r>
          </w:p>
        </w:tc>
        <w:tc>
          <w:tcPr>
            <w:tcW w:w="1105"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4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color w:val="000000" w:themeColor="text1"/>
                <w:sz w:val="18"/>
                <w:szCs w:val="18"/>
                <w14:textFill>
                  <w14:solidFill>
                    <w14:schemeClr w14:val="tx1"/>
                  </w14:solidFill>
                </w14:textFill>
              </w:rPr>
            </w:pPr>
          </w:p>
        </w:tc>
        <w:tc>
          <w:tcPr>
            <w:tcW w:w="46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5</w:t>
            </w:r>
          </w:p>
        </w:tc>
        <w:tc>
          <w:tcPr>
            <w:tcW w:w="1300" w:type="dxa"/>
            <w:vAlign w:val="center"/>
          </w:tcPr>
          <w:p>
            <w:pPr>
              <w:rPr>
                <w:color w:val="000000" w:themeColor="text1"/>
                <w:sz w:val="18"/>
                <w:szCs w:val="18"/>
                <w14:textFill>
                  <w14:solidFill>
                    <w14:schemeClr w14:val="tx1"/>
                  </w14:solidFill>
                </w14:textFill>
              </w:rPr>
            </w:pPr>
          </w:p>
        </w:tc>
        <w:tc>
          <w:tcPr>
            <w:tcW w:w="2826"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五、教育支出</w:t>
            </w:r>
          </w:p>
        </w:tc>
        <w:tc>
          <w:tcPr>
            <w:tcW w:w="509"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37</w:t>
            </w:r>
          </w:p>
        </w:tc>
        <w:tc>
          <w:tcPr>
            <w:tcW w:w="1105"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4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color w:val="000000" w:themeColor="text1"/>
                <w:sz w:val="18"/>
                <w:szCs w:val="18"/>
                <w14:textFill>
                  <w14:solidFill>
                    <w14:schemeClr w14:val="tx1"/>
                  </w14:solidFill>
                </w14:textFill>
              </w:rPr>
            </w:pPr>
          </w:p>
        </w:tc>
        <w:tc>
          <w:tcPr>
            <w:tcW w:w="46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6</w:t>
            </w:r>
          </w:p>
        </w:tc>
        <w:tc>
          <w:tcPr>
            <w:tcW w:w="1300" w:type="dxa"/>
            <w:vAlign w:val="center"/>
          </w:tcPr>
          <w:p>
            <w:pPr>
              <w:rPr>
                <w:color w:val="000000" w:themeColor="text1"/>
                <w:sz w:val="18"/>
                <w:szCs w:val="18"/>
                <w14:textFill>
                  <w14:solidFill>
                    <w14:schemeClr w14:val="tx1"/>
                  </w14:solidFill>
                </w14:textFill>
              </w:rPr>
            </w:pPr>
          </w:p>
        </w:tc>
        <w:tc>
          <w:tcPr>
            <w:tcW w:w="2826"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六、科学技术支出</w:t>
            </w:r>
          </w:p>
        </w:tc>
        <w:tc>
          <w:tcPr>
            <w:tcW w:w="509"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38</w:t>
            </w:r>
          </w:p>
        </w:tc>
        <w:tc>
          <w:tcPr>
            <w:tcW w:w="1105"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4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color w:val="000000" w:themeColor="text1"/>
                <w:sz w:val="18"/>
                <w:szCs w:val="18"/>
                <w14:textFill>
                  <w14:solidFill>
                    <w14:schemeClr w14:val="tx1"/>
                  </w14:solidFill>
                </w14:textFill>
              </w:rPr>
            </w:pPr>
          </w:p>
        </w:tc>
        <w:tc>
          <w:tcPr>
            <w:tcW w:w="46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7</w:t>
            </w:r>
          </w:p>
        </w:tc>
        <w:tc>
          <w:tcPr>
            <w:tcW w:w="1300" w:type="dxa"/>
            <w:vAlign w:val="center"/>
          </w:tcPr>
          <w:p>
            <w:pPr>
              <w:rPr>
                <w:color w:val="000000" w:themeColor="text1"/>
                <w:sz w:val="18"/>
                <w:szCs w:val="18"/>
                <w14:textFill>
                  <w14:solidFill>
                    <w14:schemeClr w14:val="tx1"/>
                  </w14:solidFill>
                </w14:textFill>
              </w:rPr>
            </w:pPr>
          </w:p>
        </w:tc>
        <w:tc>
          <w:tcPr>
            <w:tcW w:w="2826"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七、文化旅游体育与传媒支出</w:t>
            </w:r>
          </w:p>
        </w:tc>
        <w:tc>
          <w:tcPr>
            <w:tcW w:w="509"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39</w:t>
            </w:r>
          </w:p>
        </w:tc>
        <w:tc>
          <w:tcPr>
            <w:tcW w:w="1105"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4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color w:val="000000" w:themeColor="text1"/>
                <w:sz w:val="18"/>
                <w:szCs w:val="18"/>
                <w14:textFill>
                  <w14:solidFill>
                    <w14:schemeClr w14:val="tx1"/>
                  </w14:solidFill>
                </w14:textFill>
              </w:rPr>
            </w:pPr>
          </w:p>
        </w:tc>
        <w:tc>
          <w:tcPr>
            <w:tcW w:w="46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8</w:t>
            </w:r>
          </w:p>
        </w:tc>
        <w:tc>
          <w:tcPr>
            <w:tcW w:w="1300" w:type="dxa"/>
            <w:vAlign w:val="center"/>
          </w:tcPr>
          <w:p>
            <w:pPr>
              <w:rPr>
                <w:color w:val="000000" w:themeColor="text1"/>
                <w:sz w:val="18"/>
                <w:szCs w:val="18"/>
                <w14:textFill>
                  <w14:solidFill>
                    <w14:schemeClr w14:val="tx1"/>
                  </w14:solidFill>
                </w14:textFill>
              </w:rPr>
            </w:pPr>
          </w:p>
        </w:tc>
        <w:tc>
          <w:tcPr>
            <w:tcW w:w="2826"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八、社会保障和就业支出</w:t>
            </w:r>
          </w:p>
        </w:tc>
        <w:tc>
          <w:tcPr>
            <w:tcW w:w="509"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40</w:t>
            </w:r>
          </w:p>
        </w:tc>
        <w:tc>
          <w:tcPr>
            <w:tcW w:w="1105"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146.66</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146.66</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4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color w:val="000000" w:themeColor="text1"/>
                <w:sz w:val="18"/>
                <w:szCs w:val="18"/>
                <w14:textFill>
                  <w14:solidFill>
                    <w14:schemeClr w14:val="tx1"/>
                  </w14:solidFill>
                </w14:textFill>
              </w:rPr>
            </w:pPr>
          </w:p>
        </w:tc>
        <w:tc>
          <w:tcPr>
            <w:tcW w:w="46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9</w:t>
            </w:r>
          </w:p>
        </w:tc>
        <w:tc>
          <w:tcPr>
            <w:tcW w:w="1300" w:type="dxa"/>
            <w:vAlign w:val="center"/>
          </w:tcPr>
          <w:p>
            <w:pPr>
              <w:rPr>
                <w:color w:val="000000" w:themeColor="text1"/>
                <w:sz w:val="18"/>
                <w:szCs w:val="18"/>
                <w14:textFill>
                  <w14:solidFill>
                    <w14:schemeClr w14:val="tx1"/>
                  </w14:solidFill>
                </w14:textFill>
              </w:rPr>
            </w:pPr>
          </w:p>
        </w:tc>
        <w:tc>
          <w:tcPr>
            <w:tcW w:w="2826"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九、卫生健康支出</w:t>
            </w:r>
          </w:p>
        </w:tc>
        <w:tc>
          <w:tcPr>
            <w:tcW w:w="509"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41</w:t>
            </w:r>
          </w:p>
        </w:tc>
        <w:tc>
          <w:tcPr>
            <w:tcW w:w="1105"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71.72</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71.72</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4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color w:val="000000" w:themeColor="text1"/>
                <w:sz w:val="18"/>
                <w:szCs w:val="18"/>
                <w14:textFill>
                  <w14:solidFill>
                    <w14:schemeClr w14:val="tx1"/>
                  </w14:solidFill>
                </w14:textFill>
              </w:rPr>
            </w:pPr>
          </w:p>
        </w:tc>
        <w:tc>
          <w:tcPr>
            <w:tcW w:w="46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10</w:t>
            </w:r>
          </w:p>
        </w:tc>
        <w:tc>
          <w:tcPr>
            <w:tcW w:w="1300" w:type="dxa"/>
            <w:vAlign w:val="center"/>
          </w:tcPr>
          <w:p>
            <w:pPr>
              <w:rPr>
                <w:color w:val="000000" w:themeColor="text1"/>
                <w:sz w:val="18"/>
                <w:szCs w:val="18"/>
                <w14:textFill>
                  <w14:solidFill>
                    <w14:schemeClr w14:val="tx1"/>
                  </w14:solidFill>
                </w14:textFill>
              </w:rPr>
            </w:pPr>
          </w:p>
        </w:tc>
        <w:tc>
          <w:tcPr>
            <w:tcW w:w="2826"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十、节能环保支出</w:t>
            </w:r>
          </w:p>
        </w:tc>
        <w:tc>
          <w:tcPr>
            <w:tcW w:w="509"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42</w:t>
            </w:r>
          </w:p>
        </w:tc>
        <w:tc>
          <w:tcPr>
            <w:tcW w:w="1105"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4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color w:val="000000" w:themeColor="text1"/>
                <w:sz w:val="18"/>
                <w:szCs w:val="18"/>
                <w14:textFill>
                  <w14:solidFill>
                    <w14:schemeClr w14:val="tx1"/>
                  </w14:solidFill>
                </w14:textFill>
              </w:rPr>
            </w:pPr>
          </w:p>
        </w:tc>
        <w:tc>
          <w:tcPr>
            <w:tcW w:w="46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11</w:t>
            </w:r>
          </w:p>
        </w:tc>
        <w:tc>
          <w:tcPr>
            <w:tcW w:w="1300" w:type="dxa"/>
            <w:vAlign w:val="center"/>
          </w:tcPr>
          <w:p>
            <w:pPr>
              <w:rPr>
                <w:color w:val="000000" w:themeColor="text1"/>
                <w:sz w:val="18"/>
                <w:szCs w:val="18"/>
                <w14:textFill>
                  <w14:solidFill>
                    <w14:schemeClr w14:val="tx1"/>
                  </w14:solidFill>
                </w14:textFill>
              </w:rPr>
            </w:pPr>
          </w:p>
        </w:tc>
        <w:tc>
          <w:tcPr>
            <w:tcW w:w="2826"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十一、城乡社区支出</w:t>
            </w:r>
          </w:p>
        </w:tc>
        <w:tc>
          <w:tcPr>
            <w:tcW w:w="509"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43</w:t>
            </w:r>
          </w:p>
        </w:tc>
        <w:tc>
          <w:tcPr>
            <w:tcW w:w="1105"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4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color w:val="000000" w:themeColor="text1"/>
                <w:sz w:val="18"/>
                <w:szCs w:val="18"/>
                <w14:textFill>
                  <w14:solidFill>
                    <w14:schemeClr w14:val="tx1"/>
                  </w14:solidFill>
                </w14:textFill>
              </w:rPr>
            </w:pPr>
          </w:p>
        </w:tc>
        <w:tc>
          <w:tcPr>
            <w:tcW w:w="46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12</w:t>
            </w:r>
          </w:p>
        </w:tc>
        <w:tc>
          <w:tcPr>
            <w:tcW w:w="1300" w:type="dxa"/>
            <w:vAlign w:val="center"/>
          </w:tcPr>
          <w:p>
            <w:pPr>
              <w:rPr>
                <w:color w:val="000000" w:themeColor="text1"/>
                <w:sz w:val="18"/>
                <w:szCs w:val="18"/>
                <w14:textFill>
                  <w14:solidFill>
                    <w14:schemeClr w14:val="tx1"/>
                  </w14:solidFill>
                </w14:textFill>
              </w:rPr>
            </w:pPr>
          </w:p>
        </w:tc>
        <w:tc>
          <w:tcPr>
            <w:tcW w:w="2826"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十二、农林水支出</w:t>
            </w:r>
          </w:p>
        </w:tc>
        <w:tc>
          <w:tcPr>
            <w:tcW w:w="509"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44</w:t>
            </w:r>
          </w:p>
        </w:tc>
        <w:tc>
          <w:tcPr>
            <w:tcW w:w="1105"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4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color w:val="000000" w:themeColor="text1"/>
                <w:sz w:val="18"/>
                <w:szCs w:val="18"/>
                <w14:textFill>
                  <w14:solidFill>
                    <w14:schemeClr w14:val="tx1"/>
                  </w14:solidFill>
                </w14:textFill>
              </w:rPr>
            </w:pPr>
          </w:p>
        </w:tc>
        <w:tc>
          <w:tcPr>
            <w:tcW w:w="46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13</w:t>
            </w:r>
          </w:p>
        </w:tc>
        <w:tc>
          <w:tcPr>
            <w:tcW w:w="1300" w:type="dxa"/>
            <w:vAlign w:val="center"/>
          </w:tcPr>
          <w:p>
            <w:pPr>
              <w:rPr>
                <w:color w:val="000000" w:themeColor="text1"/>
                <w:sz w:val="18"/>
                <w:szCs w:val="18"/>
                <w14:textFill>
                  <w14:solidFill>
                    <w14:schemeClr w14:val="tx1"/>
                  </w14:solidFill>
                </w14:textFill>
              </w:rPr>
            </w:pPr>
          </w:p>
        </w:tc>
        <w:tc>
          <w:tcPr>
            <w:tcW w:w="2826"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十三、交通运输支出</w:t>
            </w:r>
          </w:p>
        </w:tc>
        <w:tc>
          <w:tcPr>
            <w:tcW w:w="509"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45</w:t>
            </w:r>
          </w:p>
        </w:tc>
        <w:tc>
          <w:tcPr>
            <w:tcW w:w="1105"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4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color w:val="000000" w:themeColor="text1"/>
                <w:sz w:val="18"/>
                <w:szCs w:val="18"/>
                <w14:textFill>
                  <w14:solidFill>
                    <w14:schemeClr w14:val="tx1"/>
                  </w14:solidFill>
                </w14:textFill>
              </w:rPr>
            </w:pPr>
          </w:p>
        </w:tc>
        <w:tc>
          <w:tcPr>
            <w:tcW w:w="46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14</w:t>
            </w:r>
          </w:p>
        </w:tc>
        <w:tc>
          <w:tcPr>
            <w:tcW w:w="1300" w:type="dxa"/>
            <w:vAlign w:val="center"/>
          </w:tcPr>
          <w:p>
            <w:pPr>
              <w:rPr>
                <w:color w:val="000000" w:themeColor="text1"/>
                <w:sz w:val="18"/>
                <w:szCs w:val="18"/>
                <w14:textFill>
                  <w14:solidFill>
                    <w14:schemeClr w14:val="tx1"/>
                  </w14:solidFill>
                </w14:textFill>
              </w:rPr>
            </w:pPr>
          </w:p>
        </w:tc>
        <w:tc>
          <w:tcPr>
            <w:tcW w:w="2826"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十四、资源勘探工业信息等支出</w:t>
            </w:r>
          </w:p>
        </w:tc>
        <w:tc>
          <w:tcPr>
            <w:tcW w:w="509"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46</w:t>
            </w:r>
          </w:p>
        </w:tc>
        <w:tc>
          <w:tcPr>
            <w:tcW w:w="1105"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4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color w:val="000000" w:themeColor="text1"/>
                <w:sz w:val="18"/>
                <w:szCs w:val="18"/>
                <w14:textFill>
                  <w14:solidFill>
                    <w14:schemeClr w14:val="tx1"/>
                  </w14:solidFill>
                </w14:textFill>
              </w:rPr>
            </w:pPr>
          </w:p>
        </w:tc>
        <w:tc>
          <w:tcPr>
            <w:tcW w:w="46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15</w:t>
            </w:r>
          </w:p>
        </w:tc>
        <w:tc>
          <w:tcPr>
            <w:tcW w:w="1300" w:type="dxa"/>
            <w:vAlign w:val="center"/>
          </w:tcPr>
          <w:p>
            <w:pPr>
              <w:rPr>
                <w:color w:val="000000" w:themeColor="text1"/>
                <w:sz w:val="18"/>
                <w:szCs w:val="18"/>
                <w14:textFill>
                  <w14:solidFill>
                    <w14:schemeClr w14:val="tx1"/>
                  </w14:solidFill>
                </w14:textFill>
              </w:rPr>
            </w:pPr>
          </w:p>
        </w:tc>
        <w:tc>
          <w:tcPr>
            <w:tcW w:w="2826"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十五、商业服务业等支出</w:t>
            </w:r>
          </w:p>
        </w:tc>
        <w:tc>
          <w:tcPr>
            <w:tcW w:w="509"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47</w:t>
            </w:r>
          </w:p>
        </w:tc>
        <w:tc>
          <w:tcPr>
            <w:tcW w:w="1105"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4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color w:val="000000" w:themeColor="text1"/>
                <w:sz w:val="18"/>
                <w:szCs w:val="18"/>
                <w14:textFill>
                  <w14:solidFill>
                    <w14:schemeClr w14:val="tx1"/>
                  </w14:solidFill>
                </w14:textFill>
              </w:rPr>
            </w:pPr>
          </w:p>
        </w:tc>
        <w:tc>
          <w:tcPr>
            <w:tcW w:w="46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16</w:t>
            </w:r>
          </w:p>
        </w:tc>
        <w:tc>
          <w:tcPr>
            <w:tcW w:w="1300" w:type="dxa"/>
            <w:vAlign w:val="center"/>
          </w:tcPr>
          <w:p>
            <w:pPr>
              <w:rPr>
                <w:color w:val="000000" w:themeColor="text1"/>
                <w:sz w:val="18"/>
                <w:szCs w:val="18"/>
                <w14:textFill>
                  <w14:solidFill>
                    <w14:schemeClr w14:val="tx1"/>
                  </w14:solidFill>
                </w14:textFill>
              </w:rPr>
            </w:pPr>
          </w:p>
        </w:tc>
        <w:tc>
          <w:tcPr>
            <w:tcW w:w="2826"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十六、金融支出</w:t>
            </w:r>
          </w:p>
        </w:tc>
        <w:tc>
          <w:tcPr>
            <w:tcW w:w="509"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48</w:t>
            </w:r>
          </w:p>
        </w:tc>
        <w:tc>
          <w:tcPr>
            <w:tcW w:w="1105"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4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color w:val="000000" w:themeColor="text1"/>
                <w:sz w:val="18"/>
                <w:szCs w:val="18"/>
                <w14:textFill>
                  <w14:solidFill>
                    <w14:schemeClr w14:val="tx1"/>
                  </w14:solidFill>
                </w14:textFill>
              </w:rPr>
            </w:pPr>
          </w:p>
        </w:tc>
        <w:tc>
          <w:tcPr>
            <w:tcW w:w="46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17</w:t>
            </w:r>
          </w:p>
        </w:tc>
        <w:tc>
          <w:tcPr>
            <w:tcW w:w="1300" w:type="dxa"/>
            <w:vAlign w:val="center"/>
          </w:tcPr>
          <w:p>
            <w:pPr>
              <w:rPr>
                <w:color w:val="000000" w:themeColor="text1"/>
                <w:sz w:val="18"/>
                <w:szCs w:val="18"/>
                <w14:textFill>
                  <w14:solidFill>
                    <w14:schemeClr w14:val="tx1"/>
                  </w14:solidFill>
                </w14:textFill>
              </w:rPr>
            </w:pPr>
          </w:p>
        </w:tc>
        <w:tc>
          <w:tcPr>
            <w:tcW w:w="2826"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十七、援助其他地区支出</w:t>
            </w:r>
          </w:p>
        </w:tc>
        <w:tc>
          <w:tcPr>
            <w:tcW w:w="509"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49</w:t>
            </w:r>
          </w:p>
        </w:tc>
        <w:tc>
          <w:tcPr>
            <w:tcW w:w="1105"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4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color w:val="000000" w:themeColor="text1"/>
                <w:sz w:val="18"/>
                <w:szCs w:val="18"/>
                <w14:textFill>
                  <w14:solidFill>
                    <w14:schemeClr w14:val="tx1"/>
                  </w14:solidFill>
                </w14:textFill>
              </w:rPr>
            </w:pPr>
          </w:p>
        </w:tc>
        <w:tc>
          <w:tcPr>
            <w:tcW w:w="46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18</w:t>
            </w:r>
          </w:p>
        </w:tc>
        <w:tc>
          <w:tcPr>
            <w:tcW w:w="1300" w:type="dxa"/>
            <w:vAlign w:val="center"/>
          </w:tcPr>
          <w:p>
            <w:pPr>
              <w:rPr>
                <w:color w:val="000000" w:themeColor="text1"/>
                <w:sz w:val="18"/>
                <w:szCs w:val="18"/>
                <w14:textFill>
                  <w14:solidFill>
                    <w14:schemeClr w14:val="tx1"/>
                  </w14:solidFill>
                </w14:textFill>
              </w:rPr>
            </w:pPr>
          </w:p>
        </w:tc>
        <w:tc>
          <w:tcPr>
            <w:tcW w:w="2826"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十八、自然资源海洋气象等支出</w:t>
            </w:r>
          </w:p>
        </w:tc>
        <w:tc>
          <w:tcPr>
            <w:tcW w:w="509"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50</w:t>
            </w:r>
          </w:p>
        </w:tc>
        <w:tc>
          <w:tcPr>
            <w:tcW w:w="1105"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4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color w:val="000000" w:themeColor="text1"/>
                <w:sz w:val="18"/>
                <w:szCs w:val="18"/>
                <w14:textFill>
                  <w14:solidFill>
                    <w14:schemeClr w14:val="tx1"/>
                  </w14:solidFill>
                </w14:textFill>
              </w:rPr>
            </w:pPr>
          </w:p>
        </w:tc>
        <w:tc>
          <w:tcPr>
            <w:tcW w:w="46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19</w:t>
            </w:r>
          </w:p>
        </w:tc>
        <w:tc>
          <w:tcPr>
            <w:tcW w:w="1300" w:type="dxa"/>
            <w:vAlign w:val="center"/>
          </w:tcPr>
          <w:p>
            <w:pPr>
              <w:rPr>
                <w:color w:val="000000" w:themeColor="text1"/>
                <w:sz w:val="18"/>
                <w:szCs w:val="18"/>
                <w14:textFill>
                  <w14:solidFill>
                    <w14:schemeClr w14:val="tx1"/>
                  </w14:solidFill>
                </w14:textFill>
              </w:rPr>
            </w:pPr>
          </w:p>
        </w:tc>
        <w:tc>
          <w:tcPr>
            <w:tcW w:w="2826"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十九、住房保障支出</w:t>
            </w:r>
          </w:p>
        </w:tc>
        <w:tc>
          <w:tcPr>
            <w:tcW w:w="509"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51</w:t>
            </w:r>
          </w:p>
        </w:tc>
        <w:tc>
          <w:tcPr>
            <w:tcW w:w="1105"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77.20</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77.20</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4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color w:val="000000" w:themeColor="text1"/>
                <w:sz w:val="18"/>
                <w:szCs w:val="18"/>
                <w14:textFill>
                  <w14:solidFill>
                    <w14:schemeClr w14:val="tx1"/>
                  </w14:solidFill>
                </w14:textFill>
              </w:rPr>
            </w:pPr>
          </w:p>
        </w:tc>
        <w:tc>
          <w:tcPr>
            <w:tcW w:w="46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20</w:t>
            </w:r>
          </w:p>
        </w:tc>
        <w:tc>
          <w:tcPr>
            <w:tcW w:w="1300" w:type="dxa"/>
            <w:vAlign w:val="center"/>
          </w:tcPr>
          <w:p>
            <w:pPr>
              <w:rPr>
                <w:color w:val="000000" w:themeColor="text1"/>
                <w:sz w:val="18"/>
                <w:szCs w:val="18"/>
                <w14:textFill>
                  <w14:solidFill>
                    <w14:schemeClr w14:val="tx1"/>
                  </w14:solidFill>
                </w14:textFill>
              </w:rPr>
            </w:pPr>
          </w:p>
        </w:tc>
        <w:tc>
          <w:tcPr>
            <w:tcW w:w="2826"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二十、粮油物资储备支出</w:t>
            </w:r>
          </w:p>
        </w:tc>
        <w:tc>
          <w:tcPr>
            <w:tcW w:w="509"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52</w:t>
            </w:r>
          </w:p>
        </w:tc>
        <w:tc>
          <w:tcPr>
            <w:tcW w:w="1105"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4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color w:val="000000" w:themeColor="text1"/>
                <w:sz w:val="18"/>
                <w:szCs w:val="18"/>
                <w14:textFill>
                  <w14:solidFill>
                    <w14:schemeClr w14:val="tx1"/>
                  </w14:solidFill>
                </w14:textFill>
              </w:rPr>
            </w:pPr>
          </w:p>
        </w:tc>
        <w:tc>
          <w:tcPr>
            <w:tcW w:w="46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21</w:t>
            </w:r>
          </w:p>
        </w:tc>
        <w:tc>
          <w:tcPr>
            <w:tcW w:w="1300" w:type="dxa"/>
            <w:vAlign w:val="center"/>
          </w:tcPr>
          <w:p>
            <w:pPr>
              <w:rPr>
                <w:color w:val="000000" w:themeColor="text1"/>
                <w:sz w:val="18"/>
                <w:szCs w:val="18"/>
                <w14:textFill>
                  <w14:solidFill>
                    <w14:schemeClr w14:val="tx1"/>
                  </w14:solidFill>
                </w14:textFill>
              </w:rPr>
            </w:pPr>
          </w:p>
        </w:tc>
        <w:tc>
          <w:tcPr>
            <w:tcW w:w="2826"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二十一、国有资本经营预算支出</w:t>
            </w:r>
          </w:p>
        </w:tc>
        <w:tc>
          <w:tcPr>
            <w:tcW w:w="509"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53</w:t>
            </w:r>
          </w:p>
        </w:tc>
        <w:tc>
          <w:tcPr>
            <w:tcW w:w="1105"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4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color w:val="000000" w:themeColor="text1"/>
                <w:sz w:val="18"/>
                <w:szCs w:val="18"/>
                <w14:textFill>
                  <w14:solidFill>
                    <w14:schemeClr w14:val="tx1"/>
                  </w14:solidFill>
                </w14:textFill>
              </w:rPr>
            </w:pPr>
          </w:p>
        </w:tc>
        <w:tc>
          <w:tcPr>
            <w:tcW w:w="46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22</w:t>
            </w:r>
          </w:p>
        </w:tc>
        <w:tc>
          <w:tcPr>
            <w:tcW w:w="1300" w:type="dxa"/>
            <w:vAlign w:val="center"/>
          </w:tcPr>
          <w:p>
            <w:pPr>
              <w:rPr>
                <w:color w:val="000000" w:themeColor="text1"/>
                <w:sz w:val="18"/>
                <w:szCs w:val="18"/>
                <w14:textFill>
                  <w14:solidFill>
                    <w14:schemeClr w14:val="tx1"/>
                  </w14:solidFill>
                </w14:textFill>
              </w:rPr>
            </w:pPr>
          </w:p>
        </w:tc>
        <w:tc>
          <w:tcPr>
            <w:tcW w:w="2826"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二十二、灾害防治及应急管理支出</w:t>
            </w:r>
          </w:p>
        </w:tc>
        <w:tc>
          <w:tcPr>
            <w:tcW w:w="509"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54</w:t>
            </w:r>
          </w:p>
        </w:tc>
        <w:tc>
          <w:tcPr>
            <w:tcW w:w="1105"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4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color w:val="000000" w:themeColor="text1"/>
                <w:sz w:val="18"/>
                <w:szCs w:val="18"/>
                <w14:textFill>
                  <w14:solidFill>
                    <w14:schemeClr w14:val="tx1"/>
                  </w14:solidFill>
                </w14:textFill>
              </w:rPr>
            </w:pPr>
          </w:p>
        </w:tc>
        <w:tc>
          <w:tcPr>
            <w:tcW w:w="46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23</w:t>
            </w:r>
          </w:p>
        </w:tc>
        <w:tc>
          <w:tcPr>
            <w:tcW w:w="1300" w:type="dxa"/>
            <w:vAlign w:val="center"/>
          </w:tcPr>
          <w:p>
            <w:pPr>
              <w:rPr>
                <w:color w:val="000000" w:themeColor="text1"/>
                <w:sz w:val="18"/>
                <w:szCs w:val="18"/>
                <w14:textFill>
                  <w14:solidFill>
                    <w14:schemeClr w14:val="tx1"/>
                  </w14:solidFill>
                </w14:textFill>
              </w:rPr>
            </w:pPr>
          </w:p>
        </w:tc>
        <w:tc>
          <w:tcPr>
            <w:tcW w:w="2826"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二十三、其他支出</w:t>
            </w:r>
          </w:p>
        </w:tc>
        <w:tc>
          <w:tcPr>
            <w:tcW w:w="509"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55</w:t>
            </w:r>
          </w:p>
        </w:tc>
        <w:tc>
          <w:tcPr>
            <w:tcW w:w="1105"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4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color w:val="000000" w:themeColor="text1"/>
                <w:sz w:val="18"/>
                <w:szCs w:val="18"/>
                <w14:textFill>
                  <w14:solidFill>
                    <w14:schemeClr w14:val="tx1"/>
                  </w14:solidFill>
                </w14:textFill>
              </w:rPr>
            </w:pPr>
          </w:p>
        </w:tc>
        <w:tc>
          <w:tcPr>
            <w:tcW w:w="46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24</w:t>
            </w:r>
          </w:p>
        </w:tc>
        <w:tc>
          <w:tcPr>
            <w:tcW w:w="1300" w:type="dxa"/>
            <w:vAlign w:val="center"/>
          </w:tcPr>
          <w:p>
            <w:pPr>
              <w:rPr>
                <w:color w:val="000000" w:themeColor="text1"/>
                <w:sz w:val="18"/>
                <w:szCs w:val="18"/>
                <w14:textFill>
                  <w14:solidFill>
                    <w14:schemeClr w14:val="tx1"/>
                  </w14:solidFill>
                </w14:textFill>
              </w:rPr>
            </w:pPr>
          </w:p>
        </w:tc>
        <w:tc>
          <w:tcPr>
            <w:tcW w:w="2826"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二十四、债务还本支出</w:t>
            </w:r>
          </w:p>
        </w:tc>
        <w:tc>
          <w:tcPr>
            <w:tcW w:w="509"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56</w:t>
            </w:r>
          </w:p>
        </w:tc>
        <w:tc>
          <w:tcPr>
            <w:tcW w:w="1105"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4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color w:val="000000" w:themeColor="text1"/>
                <w:sz w:val="18"/>
                <w:szCs w:val="18"/>
                <w14:textFill>
                  <w14:solidFill>
                    <w14:schemeClr w14:val="tx1"/>
                  </w14:solidFill>
                </w14:textFill>
              </w:rPr>
            </w:pPr>
          </w:p>
        </w:tc>
        <w:tc>
          <w:tcPr>
            <w:tcW w:w="46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25</w:t>
            </w:r>
          </w:p>
        </w:tc>
        <w:tc>
          <w:tcPr>
            <w:tcW w:w="1300" w:type="dxa"/>
            <w:vAlign w:val="center"/>
          </w:tcPr>
          <w:p>
            <w:pPr>
              <w:rPr>
                <w:color w:val="000000" w:themeColor="text1"/>
                <w:sz w:val="18"/>
                <w:szCs w:val="18"/>
                <w14:textFill>
                  <w14:solidFill>
                    <w14:schemeClr w14:val="tx1"/>
                  </w14:solidFill>
                </w14:textFill>
              </w:rPr>
            </w:pPr>
          </w:p>
        </w:tc>
        <w:tc>
          <w:tcPr>
            <w:tcW w:w="2826"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二十五、债务付息支出</w:t>
            </w:r>
          </w:p>
        </w:tc>
        <w:tc>
          <w:tcPr>
            <w:tcW w:w="509"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57</w:t>
            </w:r>
          </w:p>
        </w:tc>
        <w:tc>
          <w:tcPr>
            <w:tcW w:w="1105"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4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color w:val="000000" w:themeColor="text1"/>
                <w:sz w:val="18"/>
                <w:szCs w:val="18"/>
                <w14:textFill>
                  <w14:solidFill>
                    <w14:schemeClr w14:val="tx1"/>
                  </w14:solidFill>
                </w14:textFill>
              </w:rPr>
            </w:pPr>
          </w:p>
        </w:tc>
        <w:tc>
          <w:tcPr>
            <w:tcW w:w="46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26</w:t>
            </w:r>
          </w:p>
        </w:tc>
        <w:tc>
          <w:tcPr>
            <w:tcW w:w="1300" w:type="dxa"/>
            <w:vAlign w:val="center"/>
          </w:tcPr>
          <w:p>
            <w:pPr>
              <w:rPr>
                <w:color w:val="000000" w:themeColor="text1"/>
                <w:sz w:val="18"/>
                <w:szCs w:val="18"/>
                <w14:textFill>
                  <w14:solidFill>
                    <w14:schemeClr w14:val="tx1"/>
                  </w14:solidFill>
                </w14:textFill>
              </w:rPr>
            </w:pPr>
          </w:p>
        </w:tc>
        <w:tc>
          <w:tcPr>
            <w:tcW w:w="2826"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二十六、抗疫特别国债安排的支出</w:t>
            </w:r>
          </w:p>
        </w:tc>
        <w:tc>
          <w:tcPr>
            <w:tcW w:w="509"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58</w:t>
            </w:r>
          </w:p>
        </w:tc>
        <w:tc>
          <w:tcPr>
            <w:tcW w:w="1105"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4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i w:val="0"/>
                <w:color w:val="000000" w:themeColor="text1"/>
                <w:sz w:val="18"/>
                <w:szCs w:val="18"/>
                <w14:textFill>
                  <w14:solidFill>
                    <w14:schemeClr w14:val="tx1"/>
                  </w14:solidFill>
                </w14:textFill>
              </w:rPr>
              <w:t>本年收入合计</w:t>
            </w:r>
          </w:p>
        </w:tc>
        <w:tc>
          <w:tcPr>
            <w:tcW w:w="46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27</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2,501.75</w:t>
            </w:r>
          </w:p>
        </w:tc>
        <w:tc>
          <w:tcPr>
            <w:tcW w:w="2826"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i w:val="0"/>
                <w:color w:val="000000" w:themeColor="text1"/>
                <w:sz w:val="18"/>
                <w:szCs w:val="18"/>
                <w14:textFill>
                  <w14:solidFill>
                    <w14:schemeClr w14:val="tx1"/>
                  </w14:solidFill>
                </w14:textFill>
              </w:rPr>
              <w:t>本年支出合计</w:t>
            </w:r>
          </w:p>
        </w:tc>
        <w:tc>
          <w:tcPr>
            <w:tcW w:w="509"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59</w:t>
            </w:r>
          </w:p>
        </w:tc>
        <w:tc>
          <w:tcPr>
            <w:tcW w:w="1105"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2,501.75</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2,501.75</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4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年初财政拨款结转和结余</w:t>
            </w:r>
          </w:p>
        </w:tc>
        <w:tc>
          <w:tcPr>
            <w:tcW w:w="46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28</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2826"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年末财政拨款结转和结余</w:t>
            </w:r>
          </w:p>
        </w:tc>
        <w:tc>
          <w:tcPr>
            <w:tcW w:w="509"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60</w:t>
            </w:r>
          </w:p>
        </w:tc>
        <w:tc>
          <w:tcPr>
            <w:tcW w:w="1105"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4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一般公共预算财政拨款</w:t>
            </w:r>
          </w:p>
        </w:tc>
        <w:tc>
          <w:tcPr>
            <w:tcW w:w="46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29</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2826" w:type="dxa"/>
            <w:vAlign w:val="center"/>
          </w:tcPr>
          <w:p>
            <w:pPr>
              <w:rPr>
                <w:color w:val="000000" w:themeColor="text1"/>
                <w:sz w:val="18"/>
                <w:szCs w:val="18"/>
                <w14:textFill>
                  <w14:solidFill>
                    <w14:schemeClr w14:val="tx1"/>
                  </w14:solidFill>
                </w14:textFill>
              </w:rPr>
            </w:pPr>
          </w:p>
        </w:tc>
        <w:tc>
          <w:tcPr>
            <w:tcW w:w="509"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61</w:t>
            </w:r>
          </w:p>
        </w:tc>
        <w:tc>
          <w:tcPr>
            <w:tcW w:w="1105" w:type="dxa"/>
            <w:vAlign w:val="center"/>
          </w:tcPr>
          <w:p>
            <w:pPr>
              <w:rPr>
                <w:color w:val="000000" w:themeColor="text1"/>
                <w:sz w:val="18"/>
                <w:szCs w:val="18"/>
                <w14:textFill>
                  <w14:solidFill>
                    <w14:schemeClr w14:val="tx1"/>
                  </w14:solidFill>
                </w14:textFill>
              </w:rPr>
            </w:pPr>
          </w:p>
        </w:tc>
        <w:tc>
          <w:tcPr>
            <w:tcW w:w="1300" w:type="dxa"/>
            <w:vAlign w:val="center"/>
          </w:tcPr>
          <w:p>
            <w:pPr>
              <w:rPr>
                <w:color w:val="000000" w:themeColor="text1"/>
                <w:sz w:val="18"/>
                <w:szCs w:val="18"/>
                <w14:textFill>
                  <w14:solidFill>
                    <w14:schemeClr w14:val="tx1"/>
                  </w14:solidFill>
                </w14:textFill>
              </w:rPr>
            </w:pPr>
          </w:p>
        </w:tc>
        <w:tc>
          <w:tcPr>
            <w:tcW w:w="1300" w:type="dxa"/>
            <w:vAlign w:val="center"/>
          </w:tcPr>
          <w:p>
            <w:pPr>
              <w:rPr>
                <w:color w:val="000000" w:themeColor="text1"/>
                <w:sz w:val="18"/>
                <w:szCs w:val="18"/>
                <w14:textFill>
                  <w14:solidFill>
                    <w14:schemeClr w14:val="tx1"/>
                  </w14:solidFill>
                </w14:textFill>
              </w:rPr>
            </w:pPr>
          </w:p>
        </w:tc>
        <w:tc>
          <w:tcPr>
            <w:tcW w:w="1344" w:type="dxa"/>
            <w:vAlign w:val="center"/>
          </w:tcPr>
          <w:p>
            <w:pPr>
              <w:rPr>
                <w:color w:val="000000" w:themeColor="text1"/>
                <w:sz w:val="18"/>
                <w:szCs w:val="18"/>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政府性基金预算财政拨款</w:t>
            </w:r>
          </w:p>
        </w:tc>
        <w:tc>
          <w:tcPr>
            <w:tcW w:w="46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2826" w:type="dxa"/>
            <w:vAlign w:val="center"/>
          </w:tcPr>
          <w:p>
            <w:pPr>
              <w:rPr>
                <w:color w:val="000000" w:themeColor="text1"/>
                <w:sz w:val="18"/>
                <w:szCs w:val="18"/>
                <w14:textFill>
                  <w14:solidFill>
                    <w14:schemeClr w14:val="tx1"/>
                  </w14:solidFill>
                </w14:textFill>
              </w:rPr>
            </w:pPr>
          </w:p>
        </w:tc>
        <w:tc>
          <w:tcPr>
            <w:tcW w:w="509"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62</w:t>
            </w:r>
          </w:p>
        </w:tc>
        <w:tc>
          <w:tcPr>
            <w:tcW w:w="1105" w:type="dxa"/>
            <w:vAlign w:val="center"/>
          </w:tcPr>
          <w:p>
            <w:pPr>
              <w:rPr>
                <w:color w:val="000000" w:themeColor="text1"/>
                <w:sz w:val="18"/>
                <w:szCs w:val="18"/>
                <w14:textFill>
                  <w14:solidFill>
                    <w14:schemeClr w14:val="tx1"/>
                  </w14:solidFill>
                </w14:textFill>
              </w:rPr>
            </w:pPr>
          </w:p>
        </w:tc>
        <w:tc>
          <w:tcPr>
            <w:tcW w:w="1300" w:type="dxa"/>
            <w:vAlign w:val="center"/>
          </w:tcPr>
          <w:p>
            <w:pPr>
              <w:rPr>
                <w:color w:val="000000" w:themeColor="text1"/>
                <w:sz w:val="18"/>
                <w:szCs w:val="18"/>
                <w14:textFill>
                  <w14:solidFill>
                    <w14:schemeClr w14:val="tx1"/>
                  </w14:solidFill>
                </w14:textFill>
              </w:rPr>
            </w:pPr>
          </w:p>
        </w:tc>
        <w:tc>
          <w:tcPr>
            <w:tcW w:w="1300" w:type="dxa"/>
            <w:vAlign w:val="center"/>
          </w:tcPr>
          <w:p>
            <w:pPr>
              <w:rPr>
                <w:color w:val="000000" w:themeColor="text1"/>
                <w:sz w:val="18"/>
                <w:szCs w:val="18"/>
                <w14:textFill>
                  <w14:solidFill>
                    <w14:schemeClr w14:val="tx1"/>
                  </w14:solidFill>
                </w14:textFill>
              </w:rPr>
            </w:pPr>
          </w:p>
        </w:tc>
        <w:tc>
          <w:tcPr>
            <w:tcW w:w="1344" w:type="dxa"/>
            <w:vAlign w:val="center"/>
          </w:tcPr>
          <w:p>
            <w:pPr>
              <w:rPr>
                <w:color w:val="000000" w:themeColor="text1"/>
                <w:sz w:val="18"/>
                <w:szCs w:val="18"/>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国有资本经营预算财政拨款</w:t>
            </w:r>
          </w:p>
        </w:tc>
        <w:tc>
          <w:tcPr>
            <w:tcW w:w="46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31</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2826" w:type="dxa"/>
            <w:vAlign w:val="center"/>
          </w:tcPr>
          <w:p>
            <w:pPr>
              <w:rPr>
                <w:color w:val="000000" w:themeColor="text1"/>
                <w:sz w:val="18"/>
                <w:szCs w:val="18"/>
                <w14:textFill>
                  <w14:solidFill>
                    <w14:schemeClr w14:val="tx1"/>
                  </w14:solidFill>
                </w14:textFill>
              </w:rPr>
            </w:pPr>
          </w:p>
        </w:tc>
        <w:tc>
          <w:tcPr>
            <w:tcW w:w="509"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63</w:t>
            </w:r>
          </w:p>
        </w:tc>
        <w:tc>
          <w:tcPr>
            <w:tcW w:w="1105" w:type="dxa"/>
            <w:vAlign w:val="center"/>
          </w:tcPr>
          <w:p>
            <w:pPr>
              <w:rPr>
                <w:color w:val="000000" w:themeColor="text1"/>
                <w:sz w:val="18"/>
                <w:szCs w:val="18"/>
                <w14:textFill>
                  <w14:solidFill>
                    <w14:schemeClr w14:val="tx1"/>
                  </w14:solidFill>
                </w14:textFill>
              </w:rPr>
            </w:pPr>
          </w:p>
        </w:tc>
        <w:tc>
          <w:tcPr>
            <w:tcW w:w="1300" w:type="dxa"/>
            <w:vAlign w:val="center"/>
          </w:tcPr>
          <w:p>
            <w:pPr>
              <w:rPr>
                <w:color w:val="000000" w:themeColor="text1"/>
                <w:sz w:val="18"/>
                <w:szCs w:val="18"/>
                <w14:textFill>
                  <w14:solidFill>
                    <w14:schemeClr w14:val="tx1"/>
                  </w14:solidFill>
                </w14:textFill>
              </w:rPr>
            </w:pPr>
          </w:p>
        </w:tc>
        <w:tc>
          <w:tcPr>
            <w:tcW w:w="1300" w:type="dxa"/>
            <w:vAlign w:val="center"/>
          </w:tcPr>
          <w:p>
            <w:pPr>
              <w:rPr>
                <w:color w:val="000000" w:themeColor="text1"/>
                <w:sz w:val="18"/>
                <w:szCs w:val="18"/>
                <w14:textFill>
                  <w14:solidFill>
                    <w14:schemeClr w14:val="tx1"/>
                  </w14:solidFill>
                </w14:textFill>
              </w:rPr>
            </w:pPr>
          </w:p>
        </w:tc>
        <w:tc>
          <w:tcPr>
            <w:tcW w:w="1344" w:type="dxa"/>
            <w:vAlign w:val="center"/>
          </w:tcPr>
          <w:p>
            <w:pPr>
              <w:rPr>
                <w:color w:val="000000" w:themeColor="text1"/>
                <w:sz w:val="18"/>
                <w:szCs w:val="18"/>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i w:val="0"/>
                <w:color w:val="000000" w:themeColor="text1"/>
                <w:sz w:val="18"/>
                <w:szCs w:val="18"/>
                <w14:textFill>
                  <w14:solidFill>
                    <w14:schemeClr w14:val="tx1"/>
                  </w14:solidFill>
                </w14:textFill>
              </w:rPr>
              <w:t>总计</w:t>
            </w:r>
          </w:p>
        </w:tc>
        <w:tc>
          <w:tcPr>
            <w:tcW w:w="46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32</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2,501.75</w:t>
            </w:r>
          </w:p>
        </w:tc>
        <w:tc>
          <w:tcPr>
            <w:tcW w:w="2826"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i w:val="0"/>
                <w:color w:val="000000" w:themeColor="text1"/>
                <w:sz w:val="18"/>
                <w:szCs w:val="18"/>
                <w14:textFill>
                  <w14:solidFill>
                    <w14:schemeClr w14:val="tx1"/>
                  </w14:solidFill>
                </w14:textFill>
              </w:rPr>
              <w:t>总计</w:t>
            </w:r>
          </w:p>
        </w:tc>
        <w:tc>
          <w:tcPr>
            <w:tcW w:w="509"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64</w:t>
            </w:r>
          </w:p>
        </w:tc>
        <w:tc>
          <w:tcPr>
            <w:tcW w:w="1105"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2,501.75</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2,501.75</w:t>
            </w:r>
          </w:p>
        </w:tc>
        <w:tc>
          <w:tcPr>
            <w:tcW w:w="130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34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color w:val="000000" w:themeColor="text1"/>
          <w:sz w:val="32"/>
          <w:szCs w:val="32"/>
          <w:lang w:val="en-US" w:eastAsia="zh-CN"/>
          <w14:textFill>
            <w14:solidFill>
              <w14:schemeClr w14:val="tx1"/>
            </w14:solidFill>
          </w14:textFill>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themeColor="text1"/>
          <w:kern w:val="0"/>
          <w:sz w:val="32"/>
          <w:szCs w:val="32"/>
          <w:lang w:val="en-US" w:eastAsia="zh-CN"/>
          <w14:textFill>
            <w14:solidFill>
              <w14:schemeClr w14:val="tx1"/>
            </w14:solidFill>
          </w14:textFill>
        </w:rPr>
      </w:pPr>
      <w:r>
        <w:rPr>
          <w:rFonts w:hint="eastAsia" w:ascii="华文中宋" w:hAnsi="华文中宋" w:eastAsia="华文中宋" w:cs="华文中宋"/>
          <w:color w:val="000000" w:themeColor="text1"/>
          <w:kern w:val="0"/>
          <w:sz w:val="32"/>
          <w:szCs w:val="32"/>
          <w:lang w:val="en-US" w:eastAsia="zh-CN"/>
          <w14:textFill>
            <w14:solidFill>
              <w14:schemeClr w14:val="tx1"/>
            </w14:solidFill>
          </w14:textFill>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rPr>
                <w:color w:val="000000" w:themeColor="text1"/>
                <w:sz w:val="18"/>
                <w:szCs w:val="18"/>
                <w14:textFill>
                  <w14:solidFill>
                    <w14:schemeClr w14:val="tx1"/>
                  </w14:solidFill>
                </w14:textFill>
              </w:rPr>
            </w:pPr>
            <w:r>
              <w:rPr>
                <w:rFonts w:ascii="宋体" w:hAnsi="宋体" w:eastAsia="宋体" w:cs="宋体"/>
                <w:color w:val="000000" w:themeColor="text1"/>
                <w:sz w:val="18"/>
                <w:szCs w:val="18"/>
                <w14:textFill>
                  <w14:solidFill>
                    <w14:schemeClr w14:val="tx1"/>
                  </w14:solidFill>
                </w14:textFill>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rPr>
                <w:color w:val="000000" w:themeColor="text1"/>
                <w:sz w:val="18"/>
                <w:szCs w:val="18"/>
                <w14:textFill>
                  <w14:solidFill>
                    <w14:schemeClr w14:val="tx1"/>
                  </w14:solidFill>
                </w14:textFill>
              </w:rPr>
            </w:pPr>
            <w:r>
              <w:rPr>
                <w:rFonts w:ascii="宋体" w:hAnsi="宋体" w:eastAsia="宋体" w:cs="宋体"/>
                <w:color w:val="000000" w:themeColor="text1"/>
                <w:sz w:val="18"/>
                <w:szCs w:val="18"/>
                <w14:textFill>
                  <w14:solidFill>
                    <w14:schemeClr w14:val="tx1"/>
                  </w14:solidFill>
                </w14:textFill>
              </w:rPr>
              <w:t>部门：中共郸城县纪律检查委员会</w:t>
            </w:r>
          </w:p>
        </w:tc>
        <w:tc>
          <w:tcPr>
            <w:tcW w:w="2000" w:type="dxa"/>
          </w:tcPr>
          <w:p>
            <w:pPr>
              <w:jc w:val="center"/>
              <w:rPr>
                <w:color w:val="000000" w:themeColor="text1"/>
                <w:sz w:val="18"/>
                <w:szCs w:val="18"/>
                <w14:textFill>
                  <w14:solidFill>
                    <w14:schemeClr w14:val="tx1"/>
                  </w14:solidFill>
                </w14:textFill>
              </w:rPr>
            </w:pPr>
            <w:r>
              <w:rPr>
                <w:rFonts w:ascii="宋体" w:hAnsi="宋体" w:eastAsia="宋体" w:cs="宋体"/>
                <w:color w:val="000000" w:themeColor="text1"/>
                <w:sz w:val="18"/>
                <w:szCs w:val="18"/>
                <w14:textFill>
                  <w14:solidFill>
                    <w14:schemeClr w14:val="tx1"/>
                  </w14:solidFill>
                </w14:textFill>
              </w:rPr>
              <w:t>2024年度</w:t>
            </w:r>
          </w:p>
        </w:tc>
        <w:tc>
          <w:tcPr>
            <w:tcW w:w="3513" w:type="dxa"/>
          </w:tcPr>
          <w:p>
            <w:pPr>
              <w:jc w:val="right"/>
              <w:rPr>
                <w:rFonts w:hint="eastAsia" w:eastAsia="宋体"/>
                <w:color w:val="000000" w:themeColor="text1"/>
                <w:sz w:val="18"/>
                <w:szCs w:val="18"/>
                <w:lang w:eastAsia="zh-CN"/>
                <w14:textFill>
                  <w14:solidFill>
                    <w14:schemeClr w14:val="tx1"/>
                  </w14:solidFill>
                </w14:textFill>
              </w:rPr>
            </w:pPr>
            <w:r>
              <w:rPr>
                <w:rFonts w:hint="eastAsia" w:ascii="宋体" w:hAnsi="宋体" w:cs="宋体"/>
                <w:color w:val="000000" w:themeColor="text1"/>
                <w:sz w:val="18"/>
                <w:szCs w:val="18"/>
                <w:lang w:eastAsia="zh-CN"/>
                <w14:textFill>
                  <w14:solidFill>
                    <w14:schemeClr w14:val="tx1"/>
                  </w14:solidFill>
                </w14:textFill>
              </w:rPr>
              <w:t>金额单位：万元</w:t>
            </w:r>
          </w:p>
        </w:tc>
      </w:tr>
    </w:tbl>
    <w:p>
      <w:pPr>
        <w:snapToGrid w:val="0"/>
        <w:spacing w:before="0" w:after="0" w:line="0" w:lineRule="auto"/>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项目</w:t>
            </w:r>
          </w:p>
        </w:tc>
        <w:tc>
          <w:tcPr>
            <w:tcW w:w="4306" w:type="dxa"/>
            <w:gridSpan w:val="3"/>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restart"/>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功能分类</w:t>
            </w:r>
          </w:p>
          <w:p>
            <w:pPr>
              <w:shd w:val="clear" w:color="auto" w:fill="auto"/>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科目编码</w:t>
            </w:r>
          </w:p>
        </w:tc>
        <w:tc>
          <w:tcPr>
            <w:tcW w:w="3760" w:type="dxa"/>
            <w:vMerge w:val="restart"/>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科目名称</w:t>
            </w:r>
          </w:p>
        </w:tc>
        <w:tc>
          <w:tcPr>
            <w:tcW w:w="1440" w:type="dxa"/>
            <w:vMerge w:val="restart"/>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小计</w:t>
            </w:r>
          </w:p>
        </w:tc>
        <w:tc>
          <w:tcPr>
            <w:tcW w:w="1440" w:type="dxa"/>
            <w:vMerge w:val="restart"/>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基本支出</w:t>
            </w:r>
          </w:p>
        </w:tc>
        <w:tc>
          <w:tcPr>
            <w:tcW w:w="1426" w:type="dxa"/>
            <w:vMerge w:val="restart"/>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8" w:hRule="exact"/>
          <w:jc w:val="center"/>
        </w:trPr>
        <w:tc>
          <w:tcPr>
            <w:tcW w:w="960" w:type="dxa"/>
            <w:vMerge w:val="continue"/>
            <w:vAlign w:val="center"/>
          </w:tcPr>
          <w:p>
            <w:pPr>
              <w:rPr>
                <w:color w:val="000000" w:themeColor="text1"/>
                <w:sz w:val="18"/>
                <w:szCs w:val="18"/>
                <w14:textFill>
                  <w14:solidFill>
                    <w14:schemeClr w14:val="tx1"/>
                  </w14:solidFill>
                </w14:textFill>
              </w:rPr>
            </w:pPr>
          </w:p>
        </w:tc>
        <w:tc>
          <w:tcPr>
            <w:tcW w:w="3760" w:type="dxa"/>
            <w:vMerge w:val="continue"/>
            <w:vAlign w:val="center"/>
          </w:tcPr>
          <w:p>
            <w:pPr>
              <w:rPr>
                <w:color w:val="000000" w:themeColor="text1"/>
                <w:sz w:val="18"/>
                <w:szCs w:val="18"/>
                <w14:textFill>
                  <w14:solidFill>
                    <w14:schemeClr w14:val="tx1"/>
                  </w14:solidFill>
                </w14:textFill>
              </w:rPr>
            </w:pPr>
          </w:p>
        </w:tc>
        <w:tc>
          <w:tcPr>
            <w:tcW w:w="1440" w:type="dxa"/>
            <w:vMerge w:val="continue"/>
            <w:vAlign w:val="center"/>
          </w:tcPr>
          <w:p>
            <w:pPr>
              <w:rPr>
                <w:color w:val="000000" w:themeColor="text1"/>
                <w:sz w:val="18"/>
                <w:szCs w:val="18"/>
                <w14:textFill>
                  <w14:solidFill>
                    <w14:schemeClr w14:val="tx1"/>
                  </w14:solidFill>
                </w14:textFill>
              </w:rPr>
            </w:pPr>
          </w:p>
        </w:tc>
        <w:tc>
          <w:tcPr>
            <w:tcW w:w="1440" w:type="dxa"/>
            <w:vMerge w:val="continue"/>
            <w:vAlign w:val="center"/>
          </w:tcPr>
          <w:p>
            <w:pPr>
              <w:rPr>
                <w:color w:val="000000" w:themeColor="text1"/>
                <w:sz w:val="18"/>
                <w:szCs w:val="18"/>
                <w14:textFill>
                  <w14:solidFill>
                    <w14:schemeClr w14:val="tx1"/>
                  </w14:solidFill>
                </w14:textFill>
              </w:rPr>
            </w:pPr>
          </w:p>
        </w:tc>
        <w:tc>
          <w:tcPr>
            <w:tcW w:w="1426" w:type="dxa"/>
            <w:vMerge w:val="continue"/>
            <w:vAlign w:val="center"/>
          </w:tcPr>
          <w:p>
            <w:pPr>
              <w:rPr>
                <w:color w:val="000000" w:themeColor="text1"/>
                <w:sz w:val="18"/>
                <w:szCs w:val="18"/>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continue"/>
            <w:vAlign w:val="center"/>
          </w:tcPr>
          <w:p>
            <w:pPr>
              <w:rPr>
                <w:color w:val="000000" w:themeColor="text1"/>
                <w:sz w:val="18"/>
                <w:szCs w:val="18"/>
                <w14:textFill>
                  <w14:solidFill>
                    <w14:schemeClr w14:val="tx1"/>
                  </w14:solidFill>
                </w14:textFill>
              </w:rPr>
            </w:pPr>
          </w:p>
        </w:tc>
        <w:tc>
          <w:tcPr>
            <w:tcW w:w="3760" w:type="dxa"/>
            <w:vMerge w:val="continue"/>
            <w:vAlign w:val="center"/>
          </w:tcPr>
          <w:p>
            <w:pPr>
              <w:rPr>
                <w:color w:val="000000" w:themeColor="text1"/>
                <w:sz w:val="18"/>
                <w:szCs w:val="18"/>
                <w14:textFill>
                  <w14:solidFill>
                    <w14:schemeClr w14:val="tx1"/>
                  </w14:solidFill>
                </w14:textFill>
              </w:rPr>
            </w:pPr>
          </w:p>
        </w:tc>
        <w:tc>
          <w:tcPr>
            <w:tcW w:w="1440" w:type="dxa"/>
            <w:vMerge w:val="continue"/>
            <w:vAlign w:val="center"/>
          </w:tcPr>
          <w:p>
            <w:pPr>
              <w:rPr>
                <w:color w:val="000000" w:themeColor="text1"/>
                <w:sz w:val="18"/>
                <w:szCs w:val="18"/>
                <w14:textFill>
                  <w14:solidFill>
                    <w14:schemeClr w14:val="tx1"/>
                  </w14:solidFill>
                </w14:textFill>
              </w:rPr>
            </w:pPr>
          </w:p>
        </w:tc>
        <w:tc>
          <w:tcPr>
            <w:tcW w:w="1440" w:type="dxa"/>
            <w:vMerge w:val="continue"/>
            <w:vAlign w:val="center"/>
          </w:tcPr>
          <w:p>
            <w:pPr>
              <w:rPr>
                <w:color w:val="000000" w:themeColor="text1"/>
                <w:sz w:val="18"/>
                <w:szCs w:val="18"/>
                <w14:textFill>
                  <w14:solidFill>
                    <w14:schemeClr w14:val="tx1"/>
                  </w14:solidFill>
                </w14:textFill>
              </w:rPr>
            </w:pPr>
          </w:p>
        </w:tc>
        <w:tc>
          <w:tcPr>
            <w:tcW w:w="1426" w:type="dxa"/>
            <w:vMerge w:val="continue"/>
            <w:vAlign w:val="center"/>
          </w:tcPr>
          <w:p>
            <w:pPr>
              <w:rPr>
                <w:color w:val="000000" w:themeColor="text1"/>
                <w:sz w:val="18"/>
                <w:szCs w:val="18"/>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栏次</w:t>
            </w:r>
          </w:p>
        </w:tc>
        <w:tc>
          <w:tcPr>
            <w:tcW w:w="144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w:t>
            </w:r>
          </w:p>
        </w:tc>
        <w:tc>
          <w:tcPr>
            <w:tcW w:w="144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w:t>
            </w:r>
          </w:p>
        </w:tc>
        <w:tc>
          <w:tcPr>
            <w:tcW w:w="1426"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合计</w:t>
            </w:r>
          </w:p>
        </w:tc>
        <w:tc>
          <w:tcPr>
            <w:tcW w:w="144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2,501.75</w:t>
            </w:r>
          </w:p>
        </w:tc>
        <w:tc>
          <w:tcPr>
            <w:tcW w:w="144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1,477.63</w:t>
            </w:r>
          </w:p>
        </w:tc>
        <w:tc>
          <w:tcPr>
            <w:tcW w:w="142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1,024.12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201</w:t>
            </w:r>
          </w:p>
        </w:tc>
        <w:tc>
          <w:tcPr>
            <w:tcW w:w="376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一般公共服务支出</w:t>
            </w:r>
          </w:p>
        </w:tc>
        <w:tc>
          <w:tcPr>
            <w:tcW w:w="144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2,206.17</w:t>
            </w:r>
          </w:p>
        </w:tc>
        <w:tc>
          <w:tcPr>
            <w:tcW w:w="144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1,182.04</w:t>
            </w:r>
          </w:p>
        </w:tc>
        <w:tc>
          <w:tcPr>
            <w:tcW w:w="142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1,024.12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20111</w:t>
            </w:r>
          </w:p>
        </w:tc>
        <w:tc>
          <w:tcPr>
            <w:tcW w:w="376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纪检监察事务</w:t>
            </w:r>
          </w:p>
        </w:tc>
        <w:tc>
          <w:tcPr>
            <w:tcW w:w="144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2,206.17</w:t>
            </w:r>
          </w:p>
        </w:tc>
        <w:tc>
          <w:tcPr>
            <w:tcW w:w="144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1,182.04</w:t>
            </w:r>
          </w:p>
        </w:tc>
        <w:tc>
          <w:tcPr>
            <w:tcW w:w="142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1,024.12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2011101</w:t>
            </w:r>
          </w:p>
        </w:tc>
        <w:tc>
          <w:tcPr>
            <w:tcW w:w="376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行政运行</w:t>
            </w:r>
          </w:p>
        </w:tc>
        <w:tc>
          <w:tcPr>
            <w:tcW w:w="144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979.52</w:t>
            </w:r>
          </w:p>
        </w:tc>
        <w:tc>
          <w:tcPr>
            <w:tcW w:w="144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979.52</w:t>
            </w:r>
          </w:p>
        </w:tc>
        <w:tc>
          <w:tcPr>
            <w:tcW w:w="142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2011102</w:t>
            </w:r>
          </w:p>
        </w:tc>
        <w:tc>
          <w:tcPr>
            <w:tcW w:w="376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一般行政管理事务</w:t>
            </w:r>
          </w:p>
        </w:tc>
        <w:tc>
          <w:tcPr>
            <w:tcW w:w="144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801.72</w:t>
            </w:r>
          </w:p>
        </w:tc>
        <w:tc>
          <w:tcPr>
            <w:tcW w:w="144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42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801.72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2011104</w:t>
            </w:r>
          </w:p>
        </w:tc>
        <w:tc>
          <w:tcPr>
            <w:tcW w:w="376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大案要案查处</w:t>
            </w:r>
          </w:p>
        </w:tc>
        <w:tc>
          <w:tcPr>
            <w:tcW w:w="144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222.41</w:t>
            </w:r>
          </w:p>
        </w:tc>
        <w:tc>
          <w:tcPr>
            <w:tcW w:w="144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42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222.41</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2011150</w:t>
            </w:r>
          </w:p>
        </w:tc>
        <w:tc>
          <w:tcPr>
            <w:tcW w:w="376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事业运行</w:t>
            </w:r>
          </w:p>
        </w:tc>
        <w:tc>
          <w:tcPr>
            <w:tcW w:w="144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173.52</w:t>
            </w:r>
          </w:p>
        </w:tc>
        <w:tc>
          <w:tcPr>
            <w:tcW w:w="144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173.52</w:t>
            </w:r>
          </w:p>
        </w:tc>
        <w:tc>
          <w:tcPr>
            <w:tcW w:w="142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2011199</w:t>
            </w:r>
          </w:p>
        </w:tc>
        <w:tc>
          <w:tcPr>
            <w:tcW w:w="376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其他纪检监察事务支出</w:t>
            </w:r>
          </w:p>
        </w:tc>
        <w:tc>
          <w:tcPr>
            <w:tcW w:w="144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29.00</w:t>
            </w:r>
          </w:p>
        </w:tc>
        <w:tc>
          <w:tcPr>
            <w:tcW w:w="144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29.00</w:t>
            </w:r>
          </w:p>
        </w:tc>
        <w:tc>
          <w:tcPr>
            <w:tcW w:w="142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208</w:t>
            </w:r>
          </w:p>
        </w:tc>
        <w:tc>
          <w:tcPr>
            <w:tcW w:w="376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社会保障和就业支出</w:t>
            </w:r>
          </w:p>
        </w:tc>
        <w:tc>
          <w:tcPr>
            <w:tcW w:w="144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146.66</w:t>
            </w:r>
          </w:p>
        </w:tc>
        <w:tc>
          <w:tcPr>
            <w:tcW w:w="144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146.66</w:t>
            </w:r>
          </w:p>
        </w:tc>
        <w:tc>
          <w:tcPr>
            <w:tcW w:w="142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20805</w:t>
            </w:r>
          </w:p>
        </w:tc>
        <w:tc>
          <w:tcPr>
            <w:tcW w:w="376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行政事业单位养老支出</w:t>
            </w:r>
          </w:p>
        </w:tc>
        <w:tc>
          <w:tcPr>
            <w:tcW w:w="144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143.66</w:t>
            </w:r>
          </w:p>
        </w:tc>
        <w:tc>
          <w:tcPr>
            <w:tcW w:w="144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143.66</w:t>
            </w:r>
          </w:p>
        </w:tc>
        <w:tc>
          <w:tcPr>
            <w:tcW w:w="142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2080505</w:t>
            </w:r>
          </w:p>
        </w:tc>
        <w:tc>
          <w:tcPr>
            <w:tcW w:w="376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机关事业单位基本养老保险缴费支出</w:t>
            </w:r>
          </w:p>
        </w:tc>
        <w:tc>
          <w:tcPr>
            <w:tcW w:w="144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143.66</w:t>
            </w:r>
          </w:p>
        </w:tc>
        <w:tc>
          <w:tcPr>
            <w:tcW w:w="144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143.66</w:t>
            </w:r>
          </w:p>
        </w:tc>
        <w:tc>
          <w:tcPr>
            <w:tcW w:w="142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20899</w:t>
            </w:r>
          </w:p>
        </w:tc>
        <w:tc>
          <w:tcPr>
            <w:tcW w:w="376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其他社会保障和就业支出</w:t>
            </w:r>
          </w:p>
        </w:tc>
        <w:tc>
          <w:tcPr>
            <w:tcW w:w="144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3.00</w:t>
            </w:r>
          </w:p>
        </w:tc>
        <w:tc>
          <w:tcPr>
            <w:tcW w:w="144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3.00</w:t>
            </w:r>
          </w:p>
        </w:tc>
        <w:tc>
          <w:tcPr>
            <w:tcW w:w="142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2089999</w:t>
            </w:r>
          </w:p>
        </w:tc>
        <w:tc>
          <w:tcPr>
            <w:tcW w:w="376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其他社会保障和就业支出</w:t>
            </w:r>
          </w:p>
        </w:tc>
        <w:tc>
          <w:tcPr>
            <w:tcW w:w="144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3.00</w:t>
            </w:r>
          </w:p>
        </w:tc>
        <w:tc>
          <w:tcPr>
            <w:tcW w:w="144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3.00</w:t>
            </w:r>
          </w:p>
        </w:tc>
        <w:tc>
          <w:tcPr>
            <w:tcW w:w="142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210</w:t>
            </w:r>
          </w:p>
        </w:tc>
        <w:tc>
          <w:tcPr>
            <w:tcW w:w="376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卫生健康支出</w:t>
            </w:r>
          </w:p>
        </w:tc>
        <w:tc>
          <w:tcPr>
            <w:tcW w:w="144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71.72</w:t>
            </w:r>
          </w:p>
        </w:tc>
        <w:tc>
          <w:tcPr>
            <w:tcW w:w="144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71.72</w:t>
            </w:r>
          </w:p>
        </w:tc>
        <w:tc>
          <w:tcPr>
            <w:tcW w:w="142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21011</w:t>
            </w:r>
          </w:p>
        </w:tc>
        <w:tc>
          <w:tcPr>
            <w:tcW w:w="376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行政事业单位医疗</w:t>
            </w:r>
          </w:p>
        </w:tc>
        <w:tc>
          <w:tcPr>
            <w:tcW w:w="144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71.72</w:t>
            </w:r>
          </w:p>
        </w:tc>
        <w:tc>
          <w:tcPr>
            <w:tcW w:w="144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71.72</w:t>
            </w:r>
          </w:p>
        </w:tc>
        <w:tc>
          <w:tcPr>
            <w:tcW w:w="142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2101101</w:t>
            </w:r>
          </w:p>
        </w:tc>
        <w:tc>
          <w:tcPr>
            <w:tcW w:w="376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行政单位医疗</w:t>
            </w:r>
          </w:p>
        </w:tc>
        <w:tc>
          <w:tcPr>
            <w:tcW w:w="144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50.40</w:t>
            </w:r>
          </w:p>
        </w:tc>
        <w:tc>
          <w:tcPr>
            <w:tcW w:w="144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50.40</w:t>
            </w:r>
          </w:p>
        </w:tc>
        <w:tc>
          <w:tcPr>
            <w:tcW w:w="142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2101102</w:t>
            </w:r>
          </w:p>
        </w:tc>
        <w:tc>
          <w:tcPr>
            <w:tcW w:w="376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事业单位医疗</w:t>
            </w:r>
          </w:p>
        </w:tc>
        <w:tc>
          <w:tcPr>
            <w:tcW w:w="144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10.81</w:t>
            </w:r>
          </w:p>
        </w:tc>
        <w:tc>
          <w:tcPr>
            <w:tcW w:w="144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10.81</w:t>
            </w:r>
          </w:p>
        </w:tc>
        <w:tc>
          <w:tcPr>
            <w:tcW w:w="142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2101199</w:t>
            </w:r>
          </w:p>
        </w:tc>
        <w:tc>
          <w:tcPr>
            <w:tcW w:w="376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其他行政事业单位医疗支出</w:t>
            </w:r>
          </w:p>
        </w:tc>
        <w:tc>
          <w:tcPr>
            <w:tcW w:w="144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10.51</w:t>
            </w:r>
          </w:p>
        </w:tc>
        <w:tc>
          <w:tcPr>
            <w:tcW w:w="144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10.51</w:t>
            </w:r>
          </w:p>
        </w:tc>
        <w:tc>
          <w:tcPr>
            <w:tcW w:w="142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221</w:t>
            </w:r>
          </w:p>
        </w:tc>
        <w:tc>
          <w:tcPr>
            <w:tcW w:w="376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住房保障支出</w:t>
            </w:r>
          </w:p>
        </w:tc>
        <w:tc>
          <w:tcPr>
            <w:tcW w:w="144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77.20</w:t>
            </w:r>
          </w:p>
        </w:tc>
        <w:tc>
          <w:tcPr>
            <w:tcW w:w="144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77.20</w:t>
            </w:r>
          </w:p>
        </w:tc>
        <w:tc>
          <w:tcPr>
            <w:tcW w:w="142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22102</w:t>
            </w:r>
          </w:p>
        </w:tc>
        <w:tc>
          <w:tcPr>
            <w:tcW w:w="376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住房改革支出</w:t>
            </w:r>
          </w:p>
        </w:tc>
        <w:tc>
          <w:tcPr>
            <w:tcW w:w="144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77.20</w:t>
            </w:r>
          </w:p>
        </w:tc>
        <w:tc>
          <w:tcPr>
            <w:tcW w:w="144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77.20</w:t>
            </w:r>
          </w:p>
        </w:tc>
        <w:tc>
          <w:tcPr>
            <w:tcW w:w="142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2210201</w:t>
            </w:r>
          </w:p>
        </w:tc>
        <w:tc>
          <w:tcPr>
            <w:tcW w:w="376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住房公积金</w:t>
            </w:r>
          </w:p>
        </w:tc>
        <w:tc>
          <w:tcPr>
            <w:tcW w:w="144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77.20</w:t>
            </w:r>
          </w:p>
        </w:tc>
        <w:tc>
          <w:tcPr>
            <w:tcW w:w="144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77.20</w:t>
            </w:r>
          </w:p>
        </w:tc>
        <w:tc>
          <w:tcPr>
            <w:tcW w:w="1426"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026" w:type="dxa"/>
            <w:gridSpan w:val="5"/>
            <w:tcBorders>
              <w:left w:val="nil"/>
              <w:bottom w:val="nil"/>
              <w:right w:val="nil"/>
              <w:insideH w:val="single" w:sz="4" w:space="0"/>
              <w:insideV w:val="single" w:sz="4" w:space="0"/>
            </w:tcBorders>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themeColor="text1"/>
          <w:kern w:val="0"/>
          <w:sz w:val="20"/>
          <w:szCs w:val="20"/>
          <w:lang w:val="en-US" w:eastAsia="zh-CN"/>
          <w14:textFill>
            <w14:solidFill>
              <w14:schemeClr w14:val="tx1"/>
            </w14:solidFill>
          </w14:textFill>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themeColor="text1"/>
          <w:kern w:val="0"/>
          <w:sz w:val="20"/>
          <w:szCs w:val="20"/>
          <w:lang w:val="en-US" w:eastAsia="zh-CN"/>
          <w14:textFill>
            <w14:solidFill>
              <w14:schemeClr w14:val="tx1"/>
            </w14:solidFill>
          </w14:textFill>
        </w:rPr>
      </w:pPr>
      <w:r>
        <w:rPr>
          <w:rFonts w:hint="eastAsia" w:ascii="华文中宋" w:hAnsi="华文中宋" w:eastAsia="华文中宋" w:cs="华文中宋"/>
          <w:color w:val="000000" w:themeColor="text1"/>
          <w:kern w:val="0"/>
          <w:sz w:val="32"/>
          <w:szCs w:val="32"/>
          <w:lang w:val="en-US" w:eastAsia="zh-CN"/>
          <w14:textFill>
            <w14:solidFill>
              <w14:schemeClr w14:val="tx1"/>
            </w14:solidFill>
          </w14:textFill>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rPr>
                <w:color w:val="000000" w:themeColor="text1"/>
                <w:sz w:val="18"/>
                <w:szCs w:val="18"/>
                <w14:textFill>
                  <w14:solidFill>
                    <w14:schemeClr w14:val="tx1"/>
                  </w14:solidFill>
                </w14:textFill>
              </w:rPr>
            </w:pPr>
            <w:r>
              <w:rPr>
                <w:rFonts w:ascii="宋体" w:hAnsi="宋体" w:eastAsia="宋体" w:cs="宋体"/>
                <w:color w:val="000000" w:themeColor="text1"/>
                <w:sz w:val="18"/>
                <w:szCs w:val="18"/>
                <w14:textFill>
                  <w14:solidFill>
                    <w14:schemeClr w14:val="tx1"/>
                  </w14:solidFill>
                </w14:textFill>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rPr>
                <w:color w:val="000000" w:themeColor="text1"/>
                <w:sz w:val="18"/>
                <w:szCs w:val="18"/>
                <w14:textFill>
                  <w14:solidFill>
                    <w14:schemeClr w14:val="tx1"/>
                  </w14:solidFill>
                </w14:textFill>
              </w:rPr>
            </w:pPr>
            <w:r>
              <w:rPr>
                <w:rFonts w:ascii="宋体" w:hAnsi="宋体" w:eastAsia="宋体" w:cs="宋体"/>
                <w:color w:val="000000" w:themeColor="text1"/>
                <w:sz w:val="18"/>
                <w:szCs w:val="18"/>
                <w14:textFill>
                  <w14:solidFill>
                    <w14:schemeClr w14:val="tx1"/>
                  </w14:solidFill>
                </w14:textFill>
              </w:rPr>
              <w:t>部门：中共郸城县纪律检查委员会</w:t>
            </w:r>
          </w:p>
        </w:tc>
        <w:tc>
          <w:tcPr>
            <w:tcW w:w="2000" w:type="dxa"/>
          </w:tcPr>
          <w:p>
            <w:pPr>
              <w:jc w:val="center"/>
              <w:rPr>
                <w:color w:val="000000" w:themeColor="text1"/>
                <w:sz w:val="18"/>
                <w:szCs w:val="18"/>
                <w14:textFill>
                  <w14:solidFill>
                    <w14:schemeClr w14:val="tx1"/>
                  </w14:solidFill>
                </w14:textFill>
              </w:rPr>
            </w:pPr>
            <w:r>
              <w:rPr>
                <w:rFonts w:ascii="宋体" w:hAnsi="宋体" w:eastAsia="宋体" w:cs="宋体"/>
                <w:color w:val="000000" w:themeColor="text1"/>
                <w:sz w:val="18"/>
                <w:szCs w:val="18"/>
                <w14:textFill>
                  <w14:solidFill>
                    <w14:schemeClr w14:val="tx1"/>
                  </w14:solidFill>
                </w14:textFill>
              </w:rPr>
              <w:t>2024年度</w:t>
            </w:r>
          </w:p>
        </w:tc>
        <w:tc>
          <w:tcPr>
            <w:tcW w:w="5412" w:type="dxa"/>
          </w:tcPr>
          <w:p>
            <w:pPr>
              <w:jc w:val="right"/>
              <w:rPr>
                <w:rFonts w:hint="eastAsia" w:eastAsia="宋体"/>
                <w:color w:val="000000" w:themeColor="text1"/>
                <w:sz w:val="18"/>
                <w:szCs w:val="18"/>
                <w:lang w:eastAsia="zh-CN"/>
                <w14:textFill>
                  <w14:solidFill>
                    <w14:schemeClr w14:val="tx1"/>
                  </w14:solidFill>
                </w14:textFill>
              </w:rPr>
            </w:pPr>
            <w:r>
              <w:rPr>
                <w:rFonts w:hint="eastAsia" w:ascii="宋体" w:hAnsi="宋体" w:cs="宋体"/>
                <w:color w:val="000000" w:themeColor="text1"/>
                <w:sz w:val="18"/>
                <w:szCs w:val="18"/>
                <w:lang w:eastAsia="zh-CN"/>
                <w14:textFill>
                  <w14:solidFill>
                    <w14:schemeClr w14:val="tx1"/>
                  </w14:solidFill>
                </w14:textFill>
              </w:rPr>
              <w:t>金额单位：万元</w:t>
            </w:r>
          </w:p>
        </w:tc>
      </w:tr>
    </w:tbl>
    <w:p>
      <w:pPr>
        <w:snapToGrid w:val="0"/>
        <w:spacing w:before="0" w:after="0" w:line="0" w:lineRule="auto"/>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4140" w:type="dxa"/>
            <w:gridSpan w:val="3"/>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人员经费</w:t>
            </w:r>
          </w:p>
        </w:tc>
        <w:tc>
          <w:tcPr>
            <w:tcW w:w="8684" w:type="dxa"/>
            <w:gridSpan w:val="6"/>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公用经费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restart"/>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经济分类科目编码</w:t>
            </w:r>
          </w:p>
        </w:tc>
        <w:tc>
          <w:tcPr>
            <w:tcW w:w="2380" w:type="dxa"/>
            <w:vMerge w:val="restart"/>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科目名称</w:t>
            </w:r>
          </w:p>
        </w:tc>
        <w:tc>
          <w:tcPr>
            <w:tcW w:w="960" w:type="dxa"/>
            <w:vMerge w:val="restart"/>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决算数</w:t>
            </w:r>
          </w:p>
        </w:tc>
        <w:tc>
          <w:tcPr>
            <w:tcW w:w="800" w:type="dxa"/>
            <w:vMerge w:val="restart"/>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经济分类科目编码</w:t>
            </w:r>
          </w:p>
        </w:tc>
        <w:tc>
          <w:tcPr>
            <w:tcW w:w="2380" w:type="dxa"/>
            <w:vMerge w:val="restart"/>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科目名称</w:t>
            </w:r>
          </w:p>
        </w:tc>
        <w:tc>
          <w:tcPr>
            <w:tcW w:w="960" w:type="dxa"/>
            <w:vMerge w:val="restart"/>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决算数</w:t>
            </w:r>
          </w:p>
        </w:tc>
        <w:tc>
          <w:tcPr>
            <w:tcW w:w="800" w:type="dxa"/>
            <w:vMerge w:val="restart"/>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经济分类科目编码</w:t>
            </w:r>
          </w:p>
        </w:tc>
        <w:tc>
          <w:tcPr>
            <w:tcW w:w="2780" w:type="dxa"/>
            <w:vMerge w:val="restart"/>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科目名称</w:t>
            </w:r>
          </w:p>
        </w:tc>
        <w:tc>
          <w:tcPr>
            <w:tcW w:w="964" w:type="dxa"/>
            <w:vMerge w:val="restart"/>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continue"/>
            <w:vAlign w:val="center"/>
          </w:tcPr>
          <w:p>
            <w:pPr>
              <w:rPr>
                <w:color w:val="000000" w:themeColor="text1"/>
                <w:sz w:val="18"/>
                <w:szCs w:val="18"/>
                <w14:textFill>
                  <w14:solidFill>
                    <w14:schemeClr w14:val="tx1"/>
                  </w14:solidFill>
                </w14:textFill>
              </w:rPr>
            </w:pPr>
          </w:p>
        </w:tc>
        <w:tc>
          <w:tcPr>
            <w:tcW w:w="2380" w:type="dxa"/>
            <w:vMerge w:val="continue"/>
            <w:vAlign w:val="center"/>
          </w:tcPr>
          <w:p>
            <w:pPr>
              <w:rPr>
                <w:color w:val="000000" w:themeColor="text1"/>
                <w:sz w:val="18"/>
                <w:szCs w:val="18"/>
                <w14:textFill>
                  <w14:solidFill>
                    <w14:schemeClr w14:val="tx1"/>
                  </w14:solidFill>
                </w14:textFill>
              </w:rPr>
            </w:pPr>
          </w:p>
        </w:tc>
        <w:tc>
          <w:tcPr>
            <w:tcW w:w="960" w:type="dxa"/>
            <w:vMerge w:val="continue"/>
            <w:vAlign w:val="center"/>
          </w:tcPr>
          <w:p>
            <w:pPr>
              <w:rPr>
                <w:color w:val="000000" w:themeColor="text1"/>
                <w:sz w:val="18"/>
                <w:szCs w:val="18"/>
                <w14:textFill>
                  <w14:solidFill>
                    <w14:schemeClr w14:val="tx1"/>
                  </w14:solidFill>
                </w14:textFill>
              </w:rPr>
            </w:pPr>
          </w:p>
        </w:tc>
        <w:tc>
          <w:tcPr>
            <w:tcW w:w="800" w:type="dxa"/>
            <w:vMerge w:val="continue"/>
            <w:vAlign w:val="center"/>
          </w:tcPr>
          <w:p>
            <w:pPr>
              <w:rPr>
                <w:color w:val="000000" w:themeColor="text1"/>
                <w:sz w:val="18"/>
                <w:szCs w:val="18"/>
                <w14:textFill>
                  <w14:solidFill>
                    <w14:schemeClr w14:val="tx1"/>
                  </w14:solidFill>
                </w14:textFill>
              </w:rPr>
            </w:pPr>
          </w:p>
        </w:tc>
        <w:tc>
          <w:tcPr>
            <w:tcW w:w="2380" w:type="dxa"/>
            <w:vMerge w:val="continue"/>
            <w:vAlign w:val="center"/>
          </w:tcPr>
          <w:p>
            <w:pPr>
              <w:rPr>
                <w:color w:val="000000" w:themeColor="text1"/>
                <w:sz w:val="18"/>
                <w:szCs w:val="18"/>
                <w14:textFill>
                  <w14:solidFill>
                    <w14:schemeClr w14:val="tx1"/>
                  </w14:solidFill>
                </w14:textFill>
              </w:rPr>
            </w:pPr>
          </w:p>
        </w:tc>
        <w:tc>
          <w:tcPr>
            <w:tcW w:w="960" w:type="dxa"/>
            <w:vMerge w:val="continue"/>
            <w:vAlign w:val="center"/>
          </w:tcPr>
          <w:p>
            <w:pPr>
              <w:rPr>
                <w:color w:val="000000" w:themeColor="text1"/>
                <w:sz w:val="18"/>
                <w:szCs w:val="18"/>
                <w14:textFill>
                  <w14:solidFill>
                    <w14:schemeClr w14:val="tx1"/>
                  </w14:solidFill>
                </w14:textFill>
              </w:rPr>
            </w:pPr>
          </w:p>
        </w:tc>
        <w:tc>
          <w:tcPr>
            <w:tcW w:w="800" w:type="dxa"/>
            <w:vMerge w:val="continue"/>
            <w:vAlign w:val="center"/>
          </w:tcPr>
          <w:p>
            <w:pPr>
              <w:rPr>
                <w:color w:val="000000" w:themeColor="text1"/>
                <w:sz w:val="18"/>
                <w:szCs w:val="18"/>
                <w14:textFill>
                  <w14:solidFill>
                    <w14:schemeClr w14:val="tx1"/>
                  </w14:solidFill>
                </w14:textFill>
              </w:rPr>
            </w:pPr>
          </w:p>
        </w:tc>
        <w:tc>
          <w:tcPr>
            <w:tcW w:w="2780" w:type="dxa"/>
            <w:vMerge w:val="continue"/>
            <w:vAlign w:val="center"/>
          </w:tcPr>
          <w:p>
            <w:pPr>
              <w:rPr>
                <w:color w:val="000000" w:themeColor="text1"/>
                <w:sz w:val="18"/>
                <w:szCs w:val="18"/>
                <w14:textFill>
                  <w14:solidFill>
                    <w14:schemeClr w14:val="tx1"/>
                  </w14:solidFill>
                </w14:textFill>
              </w:rPr>
            </w:pPr>
          </w:p>
        </w:tc>
        <w:tc>
          <w:tcPr>
            <w:tcW w:w="964" w:type="dxa"/>
            <w:vMerge w:val="continue"/>
            <w:vAlign w:val="center"/>
          </w:tcPr>
          <w:p>
            <w:pPr>
              <w:rPr>
                <w:color w:val="000000" w:themeColor="text1"/>
                <w:sz w:val="18"/>
                <w:szCs w:val="18"/>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301</w:t>
            </w:r>
          </w:p>
        </w:tc>
        <w:tc>
          <w:tcPr>
            <w:tcW w:w="23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工资福利支出</w:t>
            </w:r>
          </w:p>
        </w:tc>
        <w:tc>
          <w:tcPr>
            <w:tcW w:w="9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1,288.64</w:t>
            </w:r>
          </w:p>
        </w:tc>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302</w:t>
            </w:r>
          </w:p>
        </w:tc>
        <w:tc>
          <w:tcPr>
            <w:tcW w:w="23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商品和服务支出</w:t>
            </w:r>
          </w:p>
        </w:tc>
        <w:tc>
          <w:tcPr>
            <w:tcW w:w="9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159.03</w:t>
            </w:r>
          </w:p>
        </w:tc>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307</w:t>
            </w:r>
          </w:p>
        </w:tc>
        <w:tc>
          <w:tcPr>
            <w:tcW w:w="27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债务利息及费用支出</w:t>
            </w:r>
          </w:p>
        </w:tc>
        <w:tc>
          <w:tcPr>
            <w:tcW w:w="96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30101</w:t>
            </w:r>
          </w:p>
        </w:tc>
        <w:tc>
          <w:tcPr>
            <w:tcW w:w="23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基本工资</w:t>
            </w:r>
          </w:p>
        </w:tc>
        <w:tc>
          <w:tcPr>
            <w:tcW w:w="9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626.56</w:t>
            </w:r>
          </w:p>
        </w:tc>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30201</w:t>
            </w:r>
          </w:p>
        </w:tc>
        <w:tc>
          <w:tcPr>
            <w:tcW w:w="23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办公费</w:t>
            </w:r>
          </w:p>
        </w:tc>
        <w:tc>
          <w:tcPr>
            <w:tcW w:w="9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24.02</w:t>
            </w:r>
          </w:p>
        </w:tc>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30701</w:t>
            </w:r>
          </w:p>
        </w:tc>
        <w:tc>
          <w:tcPr>
            <w:tcW w:w="27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国内债务付息</w:t>
            </w:r>
          </w:p>
        </w:tc>
        <w:tc>
          <w:tcPr>
            <w:tcW w:w="96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30102</w:t>
            </w:r>
          </w:p>
        </w:tc>
        <w:tc>
          <w:tcPr>
            <w:tcW w:w="23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津贴补贴</w:t>
            </w:r>
          </w:p>
        </w:tc>
        <w:tc>
          <w:tcPr>
            <w:tcW w:w="9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213.29</w:t>
            </w:r>
          </w:p>
        </w:tc>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30202</w:t>
            </w:r>
          </w:p>
        </w:tc>
        <w:tc>
          <w:tcPr>
            <w:tcW w:w="23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印刷费</w:t>
            </w:r>
          </w:p>
        </w:tc>
        <w:tc>
          <w:tcPr>
            <w:tcW w:w="9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9.75</w:t>
            </w:r>
          </w:p>
        </w:tc>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30702</w:t>
            </w:r>
          </w:p>
        </w:tc>
        <w:tc>
          <w:tcPr>
            <w:tcW w:w="27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国外债务付息</w:t>
            </w:r>
          </w:p>
        </w:tc>
        <w:tc>
          <w:tcPr>
            <w:tcW w:w="96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30103</w:t>
            </w:r>
          </w:p>
        </w:tc>
        <w:tc>
          <w:tcPr>
            <w:tcW w:w="23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奖金</w:t>
            </w:r>
          </w:p>
        </w:tc>
        <w:tc>
          <w:tcPr>
            <w:tcW w:w="9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120.70</w:t>
            </w:r>
          </w:p>
        </w:tc>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30203</w:t>
            </w:r>
          </w:p>
        </w:tc>
        <w:tc>
          <w:tcPr>
            <w:tcW w:w="23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咨询费</w:t>
            </w:r>
          </w:p>
        </w:tc>
        <w:tc>
          <w:tcPr>
            <w:tcW w:w="9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310</w:t>
            </w:r>
          </w:p>
        </w:tc>
        <w:tc>
          <w:tcPr>
            <w:tcW w:w="27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资本性支出</w:t>
            </w:r>
          </w:p>
        </w:tc>
        <w:tc>
          <w:tcPr>
            <w:tcW w:w="96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29.00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30106</w:t>
            </w:r>
          </w:p>
        </w:tc>
        <w:tc>
          <w:tcPr>
            <w:tcW w:w="23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伙食补助费</w:t>
            </w:r>
          </w:p>
        </w:tc>
        <w:tc>
          <w:tcPr>
            <w:tcW w:w="9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30204</w:t>
            </w:r>
          </w:p>
        </w:tc>
        <w:tc>
          <w:tcPr>
            <w:tcW w:w="23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手续费</w:t>
            </w:r>
          </w:p>
        </w:tc>
        <w:tc>
          <w:tcPr>
            <w:tcW w:w="9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31001</w:t>
            </w:r>
          </w:p>
        </w:tc>
        <w:tc>
          <w:tcPr>
            <w:tcW w:w="27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房屋建筑物购建</w:t>
            </w:r>
          </w:p>
        </w:tc>
        <w:tc>
          <w:tcPr>
            <w:tcW w:w="96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30107</w:t>
            </w:r>
          </w:p>
        </w:tc>
        <w:tc>
          <w:tcPr>
            <w:tcW w:w="23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绩效工资</w:t>
            </w:r>
          </w:p>
        </w:tc>
        <w:tc>
          <w:tcPr>
            <w:tcW w:w="9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33.46</w:t>
            </w:r>
          </w:p>
        </w:tc>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30205</w:t>
            </w:r>
          </w:p>
        </w:tc>
        <w:tc>
          <w:tcPr>
            <w:tcW w:w="23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水费</w:t>
            </w:r>
          </w:p>
        </w:tc>
        <w:tc>
          <w:tcPr>
            <w:tcW w:w="9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31002</w:t>
            </w:r>
          </w:p>
        </w:tc>
        <w:tc>
          <w:tcPr>
            <w:tcW w:w="27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办公设备购置</w:t>
            </w:r>
          </w:p>
        </w:tc>
        <w:tc>
          <w:tcPr>
            <w:tcW w:w="96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29.00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508" w:hRule="exact"/>
          <w:jc w:val="center"/>
        </w:trPr>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30108</w:t>
            </w:r>
          </w:p>
        </w:tc>
        <w:tc>
          <w:tcPr>
            <w:tcW w:w="23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机关事业单位基本养老保险缴费</w:t>
            </w:r>
          </w:p>
        </w:tc>
        <w:tc>
          <w:tcPr>
            <w:tcW w:w="9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143.66</w:t>
            </w:r>
          </w:p>
        </w:tc>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30206</w:t>
            </w:r>
          </w:p>
        </w:tc>
        <w:tc>
          <w:tcPr>
            <w:tcW w:w="23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电费</w:t>
            </w:r>
          </w:p>
        </w:tc>
        <w:tc>
          <w:tcPr>
            <w:tcW w:w="9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31003</w:t>
            </w:r>
          </w:p>
        </w:tc>
        <w:tc>
          <w:tcPr>
            <w:tcW w:w="27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专用设备购置</w:t>
            </w:r>
          </w:p>
        </w:tc>
        <w:tc>
          <w:tcPr>
            <w:tcW w:w="96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30109</w:t>
            </w:r>
          </w:p>
        </w:tc>
        <w:tc>
          <w:tcPr>
            <w:tcW w:w="23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职业年金缴费</w:t>
            </w:r>
          </w:p>
        </w:tc>
        <w:tc>
          <w:tcPr>
            <w:tcW w:w="9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30207</w:t>
            </w:r>
          </w:p>
        </w:tc>
        <w:tc>
          <w:tcPr>
            <w:tcW w:w="23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邮电费</w:t>
            </w:r>
          </w:p>
        </w:tc>
        <w:tc>
          <w:tcPr>
            <w:tcW w:w="9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31005</w:t>
            </w:r>
          </w:p>
        </w:tc>
        <w:tc>
          <w:tcPr>
            <w:tcW w:w="27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基础设施建设</w:t>
            </w:r>
          </w:p>
        </w:tc>
        <w:tc>
          <w:tcPr>
            <w:tcW w:w="96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30110</w:t>
            </w:r>
          </w:p>
        </w:tc>
        <w:tc>
          <w:tcPr>
            <w:tcW w:w="23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职工基本医疗保险缴费</w:t>
            </w:r>
          </w:p>
        </w:tc>
        <w:tc>
          <w:tcPr>
            <w:tcW w:w="9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61.21</w:t>
            </w:r>
          </w:p>
        </w:tc>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30208</w:t>
            </w:r>
          </w:p>
        </w:tc>
        <w:tc>
          <w:tcPr>
            <w:tcW w:w="23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取暖费</w:t>
            </w:r>
          </w:p>
        </w:tc>
        <w:tc>
          <w:tcPr>
            <w:tcW w:w="9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31006</w:t>
            </w:r>
          </w:p>
        </w:tc>
        <w:tc>
          <w:tcPr>
            <w:tcW w:w="27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大型修缮</w:t>
            </w:r>
          </w:p>
        </w:tc>
        <w:tc>
          <w:tcPr>
            <w:tcW w:w="96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30111</w:t>
            </w:r>
          </w:p>
        </w:tc>
        <w:tc>
          <w:tcPr>
            <w:tcW w:w="23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公务员医疗补助缴费</w:t>
            </w:r>
          </w:p>
        </w:tc>
        <w:tc>
          <w:tcPr>
            <w:tcW w:w="9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30209</w:t>
            </w:r>
          </w:p>
        </w:tc>
        <w:tc>
          <w:tcPr>
            <w:tcW w:w="23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物业管理费</w:t>
            </w:r>
          </w:p>
        </w:tc>
        <w:tc>
          <w:tcPr>
            <w:tcW w:w="9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31007</w:t>
            </w:r>
          </w:p>
        </w:tc>
        <w:tc>
          <w:tcPr>
            <w:tcW w:w="27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信息网络及软件购置更新</w:t>
            </w:r>
          </w:p>
        </w:tc>
        <w:tc>
          <w:tcPr>
            <w:tcW w:w="96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30112</w:t>
            </w:r>
          </w:p>
        </w:tc>
        <w:tc>
          <w:tcPr>
            <w:tcW w:w="23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其他社会保障缴费</w:t>
            </w:r>
          </w:p>
        </w:tc>
        <w:tc>
          <w:tcPr>
            <w:tcW w:w="9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12.56</w:t>
            </w:r>
          </w:p>
        </w:tc>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30211</w:t>
            </w:r>
          </w:p>
        </w:tc>
        <w:tc>
          <w:tcPr>
            <w:tcW w:w="23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差旅费</w:t>
            </w:r>
          </w:p>
        </w:tc>
        <w:tc>
          <w:tcPr>
            <w:tcW w:w="9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6.23</w:t>
            </w:r>
          </w:p>
        </w:tc>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31008</w:t>
            </w:r>
          </w:p>
        </w:tc>
        <w:tc>
          <w:tcPr>
            <w:tcW w:w="27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物资储备</w:t>
            </w:r>
          </w:p>
        </w:tc>
        <w:tc>
          <w:tcPr>
            <w:tcW w:w="96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30113</w:t>
            </w:r>
          </w:p>
        </w:tc>
        <w:tc>
          <w:tcPr>
            <w:tcW w:w="23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住房公积金</w:t>
            </w:r>
          </w:p>
        </w:tc>
        <w:tc>
          <w:tcPr>
            <w:tcW w:w="9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77.20</w:t>
            </w:r>
          </w:p>
        </w:tc>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30212</w:t>
            </w:r>
          </w:p>
        </w:tc>
        <w:tc>
          <w:tcPr>
            <w:tcW w:w="23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因公出国（境）费用</w:t>
            </w:r>
          </w:p>
        </w:tc>
        <w:tc>
          <w:tcPr>
            <w:tcW w:w="9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31009</w:t>
            </w:r>
          </w:p>
        </w:tc>
        <w:tc>
          <w:tcPr>
            <w:tcW w:w="27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土地补偿</w:t>
            </w:r>
          </w:p>
        </w:tc>
        <w:tc>
          <w:tcPr>
            <w:tcW w:w="96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30114</w:t>
            </w:r>
          </w:p>
        </w:tc>
        <w:tc>
          <w:tcPr>
            <w:tcW w:w="23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医疗费</w:t>
            </w:r>
          </w:p>
        </w:tc>
        <w:tc>
          <w:tcPr>
            <w:tcW w:w="9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30213</w:t>
            </w:r>
          </w:p>
        </w:tc>
        <w:tc>
          <w:tcPr>
            <w:tcW w:w="23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维修（护）费</w:t>
            </w:r>
          </w:p>
        </w:tc>
        <w:tc>
          <w:tcPr>
            <w:tcW w:w="9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31010</w:t>
            </w:r>
          </w:p>
        </w:tc>
        <w:tc>
          <w:tcPr>
            <w:tcW w:w="27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安置补助</w:t>
            </w:r>
          </w:p>
        </w:tc>
        <w:tc>
          <w:tcPr>
            <w:tcW w:w="96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30199</w:t>
            </w:r>
          </w:p>
        </w:tc>
        <w:tc>
          <w:tcPr>
            <w:tcW w:w="23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其他工资福利支出</w:t>
            </w:r>
          </w:p>
        </w:tc>
        <w:tc>
          <w:tcPr>
            <w:tcW w:w="9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30214</w:t>
            </w:r>
          </w:p>
        </w:tc>
        <w:tc>
          <w:tcPr>
            <w:tcW w:w="23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租赁费</w:t>
            </w:r>
          </w:p>
        </w:tc>
        <w:tc>
          <w:tcPr>
            <w:tcW w:w="9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31011</w:t>
            </w:r>
          </w:p>
        </w:tc>
        <w:tc>
          <w:tcPr>
            <w:tcW w:w="27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地上附着物和青苗补偿</w:t>
            </w:r>
          </w:p>
        </w:tc>
        <w:tc>
          <w:tcPr>
            <w:tcW w:w="96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303</w:t>
            </w:r>
          </w:p>
        </w:tc>
        <w:tc>
          <w:tcPr>
            <w:tcW w:w="23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对个人和家庭的补助</w:t>
            </w:r>
          </w:p>
        </w:tc>
        <w:tc>
          <w:tcPr>
            <w:tcW w:w="9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0.95</w:t>
            </w:r>
          </w:p>
        </w:tc>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30215</w:t>
            </w:r>
          </w:p>
        </w:tc>
        <w:tc>
          <w:tcPr>
            <w:tcW w:w="23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会议费</w:t>
            </w:r>
          </w:p>
        </w:tc>
        <w:tc>
          <w:tcPr>
            <w:tcW w:w="9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31012</w:t>
            </w:r>
          </w:p>
        </w:tc>
        <w:tc>
          <w:tcPr>
            <w:tcW w:w="27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拆迁补偿</w:t>
            </w:r>
          </w:p>
        </w:tc>
        <w:tc>
          <w:tcPr>
            <w:tcW w:w="96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30301</w:t>
            </w:r>
          </w:p>
        </w:tc>
        <w:tc>
          <w:tcPr>
            <w:tcW w:w="23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离休费</w:t>
            </w:r>
          </w:p>
        </w:tc>
        <w:tc>
          <w:tcPr>
            <w:tcW w:w="9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30216</w:t>
            </w:r>
          </w:p>
        </w:tc>
        <w:tc>
          <w:tcPr>
            <w:tcW w:w="23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培训费</w:t>
            </w:r>
          </w:p>
        </w:tc>
        <w:tc>
          <w:tcPr>
            <w:tcW w:w="9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31013</w:t>
            </w:r>
          </w:p>
        </w:tc>
        <w:tc>
          <w:tcPr>
            <w:tcW w:w="27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公务用车购置</w:t>
            </w:r>
          </w:p>
        </w:tc>
        <w:tc>
          <w:tcPr>
            <w:tcW w:w="96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30302</w:t>
            </w:r>
          </w:p>
        </w:tc>
        <w:tc>
          <w:tcPr>
            <w:tcW w:w="23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退休费</w:t>
            </w:r>
          </w:p>
        </w:tc>
        <w:tc>
          <w:tcPr>
            <w:tcW w:w="9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30217</w:t>
            </w:r>
          </w:p>
        </w:tc>
        <w:tc>
          <w:tcPr>
            <w:tcW w:w="23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公务接待费</w:t>
            </w:r>
          </w:p>
        </w:tc>
        <w:tc>
          <w:tcPr>
            <w:tcW w:w="9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31019</w:t>
            </w:r>
          </w:p>
        </w:tc>
        <w:tc>
          <w:tcPr>
            <w:tcW w:w="27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其他交通工具购置</w:t>
            </w:r>
          </w:p>
        </w:tc>
        <w:tc>
          <w:tcPr>
            <w:tcW w:w="96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30303</w:t>
            </w:r>
          </w:p>
        </w:tc>
        <w:tc>
          <w:tcPr>
            <w:tcW w:w="23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退职（役）费</w:t>
            </w:r>
          </w:p>
        </w:tc>
        <w:tc>
          <w:tcPr>
            <w:tcW w:w="9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30218</w:t>
            </w:r>
          </w:p>
        </w:tc>
        <w:tc>
          <w:tcPr>
            <w:tcW w:w="23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专用材料费</w:t>
            </w:r>
          </w:p>
        </w:tc>
        <w:tc>
          <w:tcPr>
            <w:tcW w:w="9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31021</w:t>
            </w:r>
          </w:p>
        </w:tc>
        <w:tc>
          <w:tcPr>
            <w:tcW w:w="27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文物和陈列品购置</w:t>
            </w:r>
          </w:p>
        </w:tc>
        <w:tc>
          <w:tcPr>
            <w:tcW w:w="96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30304</w:t>
            </w:r>
          </w:p>
        </w:tc>
        <w:tc>
          <w:tcPr>
            <w:tcW w:w="23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抚恤金</w:t>
            </w:r>
          </w:p>
        </w:tc>
        <w:tc>
          <w:tcPr>
            <w:tcW w:w="9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30224</w:t>
            </w:r>
          </w:p>
        </w:tc>
        <w:tc>
          <w:tcPr>
            <w:tcW w:w="23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被装购置费</w:t>
            </w:r>
          </w:p>
        </w:tc>
        <w:tc>
          <w:tcPr>
            <w:tcW w:w="9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31022</w:t>
            </w:r>
          </w:p>
        </w:tc>
        <w:tc>
          <w:tcPr>
            <w:tcW w:w="27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无形资产购置</w:t>
            </w:r>
          </w:p>
        </w:tc>
        <w:tc>
          <w:tcPr>
            <w:tcW w:w="96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30305</w:t>
            </w:r>
          </w:p>
        </w:tc>
        <w:tc>
          <w:tcPr>
            <w:tcW w:w="23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生活补助</w:t>
            </w:r>
          </w:p>
        </w:tc>
        <w:tc>
          <w:tcPr>
            <w:tcW w:w="9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0.95</w:t>
            </w:r>
          </w:p>
        </w:tc>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30225</w:t>
            </w:r>
          </w:p>
        </w:tc>
        <w:tc>
          <w:tcPr>
            <w:tcW w:w="23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专用燃料费</w:t>
            </w:r>
          </w:p>
        </w:tc>
        <w:tc>
          <w:tcPr>
            <w:tcW w:w="9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31099</w:t>
            </w:r>
          </w:p>
        </w:tc>
        <w:tc>
          <w:tcPr>
            <w:tcW w:w="27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其他资本性支出</w:t>
            </w:r>
          </w:p>
        </w:tc>
        <w:tc>
          <w:tcPr>
            <w:tcW w:w="96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30306</w:t>
            </w:r>
          </w:p>
        </w:tc>
        <w:tc>
          <w:tcPr>
            <w:tcW w:w="23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救济费</w:t>
            </w:r>
          </w:p>
        </w:tc>
        <w:tc>
          <w:tcPr>
            <w:tcW w:w="9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30226</w:t>
            </w:r>
          </w:p>
        </w:tc>
        <w:tc>
          <w:tcPr>
            <w:tcW w:w="23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劳务费</w:t>
            </w:r>
          </w:p>
        </w:tc>
        <w:tc>
          <w:tcPr>
            <w:tcW w:w="9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399</w:t>
            </w:r>
          </w:p>
        </w:tc>
        <w:tc>
          <w:tcPr>
            <w:tcW w:w="27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其他支出</w:t>
            </w:r>
          </w:p>
        </w:tc>
        <w:tc>
          <w:tcPr>
            <w:tcW w:w="96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30307</w:t>
            </w:r>
          </w:p>
        </w:tc>
        <w:tc>
          <w:tcPr>
            <w:tcW w:w="23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医疗费补助</w:t>
            </w:r>
          </w:p>
        </w:tc>
        <w:tc>
          <w:tcPr>
            <w:tcW w:w="9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30227</w:t>
            </w:r>
          </w:p>
        </w:tc>
        <w:tc>
          <w:tcPr>
            <w:tcW w:w="23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委托业务费</w:t>
            </w:r>
          </w:p>
        </w:tc>
        <w:tc>
          <w:tcPr>
            <w:tcW w:w="9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39907</w:t>
            </w:r>
          </w:p>
        </w:tc>
        <w:tc>
          <w:tcPr>
            <w:tcW w:w="27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国家赔偿费用支出</w:t>
            </w:r>
          </w:p>
        </w:tc>
        <w:tc>
          <w:tcPr>
            <w:tcW w:w="96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563" w:hRule="exact"/>
          <w:jc w:val="center"/>
        </w:trPr>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30308</w:t>
            </w:r>
          </w:p>
        </w:tc>
        <w:tc>
          <w:tcPr>
            <w:tcW w:w="23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助学金</w:t>
            </w:r>
          </w:p>
        </w:tc>
        <w:tc>
          <w:tcPr>
            <w:tcW w:w="9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30228</w:t>
            </w:r>
          </w:p>
        </w:tc>
        <w:tc>
          <w:tcPr>
            <w:tcW w:w="23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工会经费</w:t>
            </w:r>
          </w:p>
        </w:tc>
        <w:tc>
          <w:tcPr>
            <w:tcW w:w="9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39908</w:t>
            </w:r>
          </w:p>
        </w:tc>
        <w:tc>
          <w:tcPr>
            <w:tcW w:w="27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对民间非营利组织和群众性自治组织补贴</w:t>
            </w:r>
          </w:p>
        </w:tc>
        <w:tc>
          <w:tcPr>
            <w:tcW w:w="96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30309</w:t>
            </w:r>
          </w:p>
        </w:tc>
        <w:tc>
          <w:tcPr>
            <w:tcW w:w="23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奖励金</w:t>
            </w:r>
          </w:p>
        </w:tc>
        <w:tc>
          <w:tcPr>
            <w:tcW w:w="9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30229</w:t>
            </w:r>
          </w:p>
        </w:tc>
        <w:tc>
          <w:tcPr>
            <w:tcW w:w="23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福利费</w:t>
            </w:r>
          </w:p>
        </w:tc>
        <w:tc>
          <w:tcPr>
            <w:tcW w:w="9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39909</w:t>
            </w:r>
          </w:p>
        </w:tc>
        <w:tc>
          <w:tcPr>
            <w:tcW w:w="27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经常性赠与</w:t>
            </w:r>
          </w:p>
        </w:tc>
        <w:tc>
          <w:tcPr>
            <w:tcW w:w="96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30310</w:t>
            </w:r>
          </w:p>
        </w:tc>
        <w:tc>
          <w:tcPr>
            <w:tcW w:w="23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个人农业生产补贴</w:t>
            </w:r>
          </w:p>
        </w:tc>
        <w:tc>
          <w:tcPr>
            <w:tcW w:w="9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30231</w:t>
            </w:r>
          </w:p>
        </w:tc>
        <w:tc>
          <w:tcPr>
            <w:tcW w:w="23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公务用车运行维护费</w:t>
            </w:r>
          </w:p>
        </w:tc>
        <w:tc>
          <w:tcPr>
            <w:tcW w:w="9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33.56</w:t>
            </w:r>
          </w:p>
        </w:tc>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39910</w:t>
            </w:r>
          </w:p>
        </w:tc>
        <w:tc>
          <w:tcPr>
            <w:tcW w:w="27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资本性赠与</w:t>
            </w:r>
          </w:p>
        </w:tc>
        <w:tc>
          <w:tcPr>
            <w:tcW w:w="96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30311</w:t>
            </w:r>
          </w:p>
        </w:tc>
        <w:tc>
          <w:tcPr>
            <w:tcW w:w="23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代缴社会保险费</w:t>
            </w:r>
          </w:p>
        </w:tc>
        <w:tc>
          <w:tcPr>
            <w:tcW w:w="9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30239</w:t>
            </w:r>
          </w:p>
        </w:tc>
        <w:tc>
          <w:tcPr>
            <w:tcW w:w="23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其他交通费用</w:t>
            </w:r>
          </w:p>
        </w:tc>
        <w:tc>
          <w:tcPr>
            <w:tcW w:w="9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85.48</w:t>
            </w:r>
          </w:p>
        </w:tc>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39999</w:t>
            </w:r>
          </w:p>
        </w:tc>
        <w:tc>
          <w:tcPr>
            <w:tcW w:w="27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其他支出</w:t>
            </w:r>
          </w:p>
        </w:tc>
        <w:tc>
          <w:tcPr>
            <w:tcW w:w="96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30399</w:t>
            </w:r>
          </w:p>
        </w:tc>
        <w:tc>
          <w:tcPr>
            <w:tcW w:w="23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其他对个人和家庭的补助</w:t>
            </w:r>
          </w:p>
        </w:tc>
        <w:tc>
          <w:tcPr>
            <w:tcW w:w="9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30240</w:t>
            </w:r>
          </w:p>
        </w:tc>
        <w:tc>
          <w:tcPr>
            <w:tcW w:w="23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税金及附加费用</w:t>
            </w:r>
          </w:p>
        </w:tc>
        <w:tc>
          <w:tcPr>
            <w:tcW w:w="9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800" w:type="dxa"/>
            <w:vAlign w:val="center"/>
          </w:tcPr>
          <w:p>
            <w:pPr>
              <w:rPr>
                <w:color w:val="000000" w:themeColor="text1"/>
                <w:sz w:val="18"/>
                <w:szCs w:val="18"/>
                <w14:textFill>
                  <w14:solidFill>
                    <w14:schemeClr w14:val="tx1"/>
                  </w14:solidFill>
                </w14:textFill>
              </w:rPr>
            </w:pPr>
          </w:p>
        </w:tc>
        <w:tc>
          <w:tcPr>
            <w:tcW w:w="2780" w:type="dxa"/>
            <w:vAlign w:val="center"/>
          </w:tcPr>
          <w:p>
            <w:pPr>
              <w:rPr>
                <w:color w:val="000000" w:themeColor="text1"/>
                <w:sz w:val="18"/>
                <w:szCs w:val="18"/>
                <w14:textFill>
                  <w14:solidFill>
                    <w14:schemeClr w14:val="tx1"/>
                  </w14:solidFill>
                </w14:textFill>
              </w:rPr>
            </w:pPr>
          </w:p>
        </w:tc>
        <w:tc>
          <w:tcPr>
            <w:tcW w:w="964" w:type="dxa"/>
            <w:vAlign w:val="center"/>
          </w:tcPr>
          <w:p>
            <w:pPr>
              <w:rPr>
                <w:color w:val="000000" w:themeColor="text1"/>
                <w:sz w:val="18"/>
                <w:szCs w:val="18"/>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rPr>
                <w:color w:val="000000" w:themeColor="text1"/>
                <w:sz w:val="18"/>
                <w:szCs w:val="18"/>
                <w14:textFill>
                  <w14:solidFill>
                    <w14:schemeClr w14:val="tx1"/>
                  </w14:solidFill>
                </w14:textFill>
              </w:rPr>
            </w:pPr>
          </w:p>
        </w:tc>
        <w:tc>
          <w:tcPr>
            <w:tcW w:w="2380" w:type="dxa"/>
            <w:vAlign w:val="center"/>
          </w:tcPr>
          <w:p>
            <w:pPr>
              <w:rPr>
                <w:color w:val="000000" w:themeColor="text1"/>
                <w:sz w:val="18"/>
                <w:szCs w:val="18"/>
                <w14:textFill>
                  <w14:solidFill>
                    <w14:schemeClr w14:val="tx1"/>
                  </w14:solidFill>
                </w14:textFill>
              </w:rPr>
            </w:pPr>
          </w:p>
        </w:tc>
        <w:tc>
          <w:tcPr>
            <w:tcW w:w="960" w:type="dxa"/>
            <w:vAlign w:val="center"/>
          </w:tcPr>
          <w:p>
            <w:pPr>
              <w:rPr>
                <w:color w:val="000000" w:themeColor="text1"/>
                <w:sz w:val="18"/>
                <w:szCs w:val="18"/>
                <w14:textFill>
                  <w14:solidFill>
                    <w14:schemeClr w14:val="tx1"/>
                  </w14:solidFill>
                </w14:textFill>
              </w:rPr>
            </w:pPr>
          </w:p>
        </w:tc>
        <w:tc>
          <w:tcPr>
            <w:tcW w:w="80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30299</w:t>
            </w:r>
          </w:p>
        </w:tc>
        <w:tc>
          <w:tcPr>
            <w:tcW w:w="2380" w:type="dxa"/>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其他商品和服务支出</w:t>
            </w:r>
          </w:p>
        </w:tc>
        <w:tc>
          <w:tcPr>
            <w:tcW w:w="9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800" w:type="dxa"/>
            <w:vAlign w:val="center"/>
          </w:tcPr>
          <w:p>
            <w:pPr>
              <w:rPr>
                <w:color w:val="000000" w:themeColor="text1"/>
                <w:sz w:val="18"/>
                <w:szCs w:val="18"/>
                <w14:textFill>
                  <w14:solidFill>
                    <w14:schemeClr w14:val="tx1"/>
                  </w14:solidFill>
                </w14:textFill>
              </w:rPr>
            </w:pPr>
          </w:p>
        </w:tc>
        <w:tc>
          <w:tcPr>
            <w:tcW w:w="2780" w:type="dxa"/>
            <w:vAlign w:val="center"/>
          </w:tcPr>
          <w:p>
            <w:pPr>
              <w:rPr>
                <w:color w:val="000000" w:themeColor="text1"/>
                <w:sz w:val="18"/>
                <w:szCs w:val="18"/>
                <w14:textFill>
                  <w14:solidFill>
                    <w14:schemeClr w14:val="tx1"/>
                  </w14:solidFill>
                </w14:textFill>
              </w:rPr>
            </w:pPr>
          </w:p>
        </w:tc>
        <w:tc>
          <w:tcPr>
            <w:tcW w:w="964" w:type="dxa"/>
            <w:vAlign w:val="center"/>
          </w:tcPr>
          <w:p>
            <w:pPr>
              <w:rPr>
                <w:color w:val="000000" w:themeColor="text1"/>
                <w:sz w:val="18"/>
                <w:szCs w:val="18"/>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3180" w:type="dxa"/>
            <w:gridSpan w:val="2"/>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人员经费合计</w:t>
            </w:r>
          </w:p>
        </w:tc>
        <w:tc>
          <w:tcPr>
            <w:tcW w:w="9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1,289.60</w:t>
            </w:r>
          </w:p>
        </w:tc>
        <w:tc>
          <w:tcPr>
            <w:tcW w:w="7720" w:type="dxa"/>
            <w:gridSpan w:val="5"/>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公用经费合计</w:t>
            </w:r>
          </w:p>
        </w:tc>
        <w:tc>
          <w:tcPr>
            <w:tcW w:w="964"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188.03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themeColor="text1"/>
          <w:kern w:val="0"/>
          <w:sz w:val="20"/>
          <w:szCs w:val="20"/>
          <w:lang w:val="en-US" w:eastAsia="zh-CN"/>
          <w14:textFill>
            <w14:solidFill>
              <w14:schemeClr w14:val="tx1"/>
            </w14:solidFill>
          </w14:textFill>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themeColor="text1"/>
          <w:kern w:val="0"/>
          <w:sz w:val="20"/>
          <w:szCs w:val="20"/>
          <w:lang w:val="en-US" w:eastAsia="zh-CN"/>
          <w14:textFill>
            <w14:solidFill>
              <w14:schemeClr w14:val="tx1"/>
            </w14:solidFill>
          </w14:textFill>
        </w:rPr>
      </w:pPr>
      <w:r>
        <w:rPr>
          <w:rFonts w:hint="eastAsia" w:ascii="华文中宋" w:hAnsi="华文中宋" w:eastAsia="华文中宋" w:cs="华文中宋"/>
          <w:color w:val="000000" w:themeColor="text1"/>
          <w:kern w:val="0"/>
          <w:sz w:val="32"/>
          <w:szCs w:val="32"/>
          <w:lang w:val="en-US" w:eastAsia="zh-CN"/>
          <w14:textFill>
            <w14:solidFill>
              <w14:schemeClr w14:val="tx1"/>
            </w14:solidFill>
          </w14:textFill>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rPr>
                <w:color w:val="000000" w:themeColor="text1"/>
                <w:sz w:val="18"/>
                <w:szCs w:val="18"/>
                <w14:textFill>
                  <w14:solidFill>
                    <w14:schemeClr w14:val="tx1"/>
                  </w14:solidFill>
                </w14:textFill>
              </w:rPr>
            </w:pPr>
            <w:r>
              <w:rPr>
                <w:rFonts w:ascii="宋体" w:hAnsi="宋体" w:eastAsia="宋体" w:cs="宋体"/>
                <w:color w:val="000000" w:themeColor="text1"/>
                <w:sz w:val="18"/>
                <w:szCs w:val="18"/>
                <w14:textFill>
                  <w14:solidFill>
                    <w14:schemeClr w14:val="tx1"/>
                  </w14:solidFill>
                </w14:textFill>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rPr>
                <w:color w:val="000000" w:themeColor="text1"/>
                <w:sz w:val="18"/>
                <w:szCs w:val="18"/>
                <w14:textFill>
                  <w14:solidFill>
                    <w14:schemeClr w14:val="tx1"/>
                  </w14:solidFill>
                </w14:textFill>
              </w:rPr>
            </w:pPr>
            <w:r>
              <w:rPr>
                <w:rFonts w:ascii="宋体" w:hAnsi="宋体" w:eastAsia="宋体" w:cs="宋体"/>
                <w:color w:val="000000" w:themeColor="text1"/>
                <w:sz w:val="18"/>
                <w:szCs w:val="18"/>
                <w14:textFill>
                  <w14:solidFill>
                    <w14:schemeClr w14:val="tx1"/>
                  </w14:solidFill>
                </w14:textFill>
              </w:rPr>
              <w:t>部门：中共郸城县纪律检查委员会</w:t>
            </w:r>
          </w:p>
        </w:tc>
        <w:tc>
          <w:tcPr>
            <w:tcW w:w="2000" w:type="dxa"/>
          </w:tcPr>
          <w:p>
            <w:pPr>
              <w:jc w:val="center"/>
              <w:rPr>
                <w:color w:val="000000" w:themeColor="text1"/>
                <w:sz w:val="18"/>
                <w:szCs w:val="18"/>
                <w14:textFill>
                  <w14:solidFill>
                    <w14:schemeClr w14:val="tx1"/>
                  </w14:solidFill>
                </w14:textFill>
              </w:rPr>
            </w:pPr>
            <w:r>
              <w:rPr>
                <w:rFonts w:ascii="宋体" w:hAnsi="宋体" w:eastAsia="宋体" w:cs="宋体"/>
                <w:color w:val="000000" w:themeColor="text1"/>
                <w:sz w:val="18"/>
                <w:szCs w:val="18"/>
                <w14:textFill>
                  <w14:solidFill>
                    <w14:schemeClr w14:val="tx1"/>
                  </w14:solidFill>
                </w14:textFill>
              </w:rPr>
              <w:t>2024年度</w:t>
            </w:r>
          </w:p>
        </w:tc>
        <w:tc>
          <w:tcPr>
            <w:tcW w:w="5979" w:type="dxa"/>
          </w:tcPr>
          <w:p>
            <w:pPr>
              <w:jc w:val="right"/>
              <w:rPr>
                <w:rFonts w:hint="eastAsia" w:eastAsia="宋体"/>
                <w:color w:val="000000" w:themeColor="text1"/>
                <w:sz w:val="18"/>
                <w:szCs w:val="18"/>
                <w:lang w:eastAsia="zh-CN"/>
                <w14:textFill>
                  <w14:solidFill>
                    <w14:schemeClr w14:val="tx1"/>
                  </w14:solidFill>
                </w14:textFill>
              </w:rPr>
            </w:pPr>
            <w:r>
              <w:rPr>
                <w:rFonts w:hint="eastAsia" w:ascii="宋体" w:hAnsi="宋体" w:cs="宋体"/>
                <w:color w:val="000000" w:themeColor="text1"/>
                <w:sz w:val="18"/>
                <w:szCs w:val="18"/>
                <w:lang w:eastAsia="zh-CN"/>
                <w14:textFill>
                  <w14:solidFill>
                    <w14:schemeClr w14:val="tx1"/>
                  </w14:solidFill>
                </w14:textFill>
              </w:rPr>
              <w:t>金额单位：万元</w:t>
            </w:r>
          </w:p>
        </w:tc>
      </w:tr>
    </w:tbl>
    <w:p>
      <w:pPr>
        <w:snapToGrid w:val="0"/>
        <w:spacing w:before="0" w:after="0" w:line="0" w:lineRule="auto"/>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项目</w:t>
            </w:r>
          </w:p>
        </w:tc>
        <w:tc>
          <w:tcPr>
            <w:tcW w:w="1380" w:type="dxa"/>
            <w:vMerge w:val="restart"/>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年初结转和结余</w:t>
            </w:r>
          </w:p>
        </w:tc>
        <w:tc>
          <w:tcPr>
            <w:tcW w:w="1380" w:type="dxa"/>
            <w:vMerge w:val="restart"/>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本年收入</w:t>
            </w:r>
          </w:p>
        </w:tc>
        <w:tc>
          <w:tcPr>
            <w:tcW w:w="4140" w:type="dxa"/>
            <w:gridSpan w:val="3"/>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本年支出</w:t>
            </w:r>
          </w:p>
        </w:tc>
        <w:tc>
          <w:tcPr>
            <w:tcW w:w="1358" w:type="dxa"/>
            <w:vMerge w:val="restart"/>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年末结转和结余</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restart"/>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功能分类</w:t>
            </w:r>
          </w:p>
          <w:p>
            <w:pPr>
              <w:shd w:val="clear" w:color="auto" w:fill="auto"/>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科目编码</w:t>
            </w:r>
          </w:p>
        </w:tc>
        <w:tc>
          <w:tcPr>
            <w:tcW w:w="4380" w:type="dxa"/>
            <w:vMerge w:val="restart"/>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科目名称</w:t>
            </w:r>
          </w:p>
        </w:tc>
        <w:tc>
          <w:tcPr>
            <w:tcW w:w="1380" w:type="dxa"/>
            <w:vMerge w:val="continue"/>
            <w:vAlign w:val="center"/>
          </w:tcPr>
          <w:p>
            <w:pPr>
              <w:rPr>
                <w:color w:val="000000" w:themeColor="text1"/>
                <w:sz w:val="18"/>
                <w:szCs w:val="18"/>
                <w14:textFill>
                  <w14:solidFill>
                    <w14:schemeClr w14:val="tx1"/>
                  </w14:solidFill>
                </w14:textFill>
              </w:rPr>
            </w:pPr>
          </w:p>
        </w:tc>
        <w:tc>
          <w:tcPr>
            <w:tcW w:w="1380" w:type="dxa"/>
            <w:vMerge w:val="continue"/>
            <w:vAlign w:val="center"/>
          </w:tcPr>
          <w:p>
            <w:pPr>
              <w:rPr>
                <w:color w:val="000000" w:themeColor="text1"/>
                <w:sz w:val="18"/>
                <w:szCs w:val="18"/>
                <w14:textFill>
                  <w14:solidFill>
                    <w14:schemeClr w14:val="tx1"/>
                  </w14:solidFill>
                </w14:textFill>
              </w:rPr>
            </w:pPr>
          </w:p>
        </w:tc>
        <w:tc>
          <w:tcPr>
            <w:tcW w:w="1380" w:type="dxa"/>
            <w:vMerge w:val="restart"/>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小计</w:t>
            </w:r>
          </w:p>
        </w:tc>
        <w:tc>
          <w:tcPr>
            <w:tcW w:w="1380" w:type="dxa"/>
            <w:vMerge w:val="restart"/>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基本支出</w:t>
            </w:r>
          </w:p>
        </w:tc>
        <w:tc>
          <w:tcPr>
            <w:tcW w:w="1380" w:type="dxa"/>
            <w:vMerge w:val="restart"/>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项目支出</w:t>
            </w:r>
          </w:p>
        </w:tc>
        <w:tc>
          <w:tcPr>
            <w:tcW w:w="1358" w:type="dxa"/>
            <w:vMerge w:val="continue"/>
            <w:vAlign w:val="center"/>
          </w:tcPr>
          <w:p>
            <w:pPr>
              <w:rPr>
                <w:color w:val="000000" w:themeColor="text1"/>
                <w:sz w:val="18"/>
                <w:szCs w:val="18"/>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pPr>
              <w:rPr>
                <w:color w:val="000000" w:themeColor="text1"/>
                <w:sz w:val="18"/>
                <w:szCs w:val="18"/>
                <w14:textFill>
                  <w14:solidFill>
                    <w14:schemeClr w14:val="tx1"/>
                  </w14:solidFill>
                </w14:textFill>
              </w:rPr>
            </w:pPr>
          </w:p>
        </w:tc>
        <w:tc>
          <w:tcPr>
            <w:tcW w:w="4380" w:type="dxa"/>
            <w:vMerge w:val="continue"/>
            <w:vAlign w:val="center"/>
          </w:tcPr>
          <w:p>
            <w:pPr>
              <w:rPr>
                <w:color w:val="000000" w:themeColor="text1"/>
                <w:sz w:val="18"/>
                <w:szCs w:val="18"/>
                <w14:textFill>
                  <w14:solidFill>
                    <w14:schemeClr w14:val="tx1"/>
                  </w14:solidFill>
                </w14:textFill>
              </w:rPr>
            </w:pPr>
          </w:p>
        </w:tc>
        <w:tc>
          <w:tcPr>
            <w:tcW w:w="1380" w:type="dxa"/>
            <w:vMerge w:val="continue"/>
            <w:vAlign w:val="center"/>
          </w:tcPr>
          <w:p>
            <w:pPr>
              <w:rPr>
                <w:color w:val="000000" w:themeColor="text1"/>
                <w:sz w:val="18"/>
                <w:szCs w:val="18"/>
                <w14:textFill>
                  <w14:solidFill>
                    <w14:schemeClr w14:val="tx1"/>
                  </w14:solidFill>
                </w14:textFill>
              </w:rPr>
            </w:pPr>
          </w:p>
        </w:tc>
        <w:tc>
          <w:tcPr>
            <w:tcW w:w="1380" w:type="dxa"/>
            <w:vMerge w:val="continue"/>
            <w:vAlign w:val="center"/>
          </w:tcPr>
          <w:p>
            <w:pPr>
              <w:rPr>
                <w:color w:val="000000" w:themeColor="text1"/>
                <w:sz w:val="18"/>
                <w:szCs w:val="18"/>
                <w14:textFill>
                  <w14:solidFill>
                    <w14:schemeClr w14:val="tx1"/>
                  </w14:solidFill>
                </w14:textFill>
              </w:rPr>
            </w:pPr>
          </w:p>
        </w:tc>
        <w:tc>
          <w:tcPr>
            <w:tcW w:w="1380" w:type="dxa"/>
            <w:vMerge w:val="continue"/>
            <w:vAlign w:val="center"/>
          </w:tcPr>
          <w:p>
            <w:pPr>
              <w:rPr>
                <w:color w:val="000000" w:themeColor="text1"/>
                <w:sz w:val="18"/>
                <w:szCs w:val="18"/>
                <w14:textFill>
                  <w14:solidFill>
                    <w14:schemeClr w14:val="tx1"/>
                  </w14:solidFill>
                </w14:textFill>
              </w:rPr>
            </w:pPr>
          </w:p>
        </w:tc>
        <w:tc>
          <w:tcPr>
            <w:tcW w:w="1380" w:type="dxa"/>
            <w:vMerge w:val="continue"/>
            <w:vAlign w:val="center"/>
          </w:tcPr>
          <w:p>
            <w:pPr>
              <w:rPr>
                <w:color w:val="000000" w:themeColor="text1"/>
                <w:sz w:val="18"/>
                <w:szCs w:val="18"/>
                <w14:textFill>
                  <w14:solidFill>
                    <w14:schemeClr w14:val="tx1"/>
                  </w14:solidFill>
                </w14:textFill>
              </w:rPr>
            </w:pPr>
          </w:p>
        </w:tc>
        <w:tc>
          <w:tcPr>
            <w:tcW w:w="1380" w:type="dxa"/>
            <w:vMerge w:val="continue"/>
            <w:vAlign w:val="center"/>
          </w:tcPr>
          <w:p>
            <w:pPr>
              <w:rPr>
                <w:color w:val="000000" w:themeColor="text1"/>
                <w:sz w:val="18"/>
                <w:szCs w:val="18"/>
                <w14:textFill>
                  <w14:solidFill>
                    <w14:schemeClr w14:val="tx1"/>
                  </w14:solidFill>
                </w14:textFill>
              </w:rPr>
            </w:pPr>
          </w:p>
        </w:tc>
        <w:tc>
          <w:tcPr>
            <w:tcW w:w="1358" w:type="dxa"/>
            <w:vMerge w:val="continue"/>
            <w:vAlign w:val="center"/>
          </w:tcPr>
          <w:p>
            <w:pPr>
              <w:rPr>
                <w:color w:val="000000" w:themeColor="text1"/>
                <w:sz w:val="18"/>
                <w:szCs w:val="18"/>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pPr>
              <w:rPr>
                <w:color w:val="000000" w:themeColor="text1"/>
                <w:sz w:val="18"/>
                <w:szCs w:val="18"/>
                <w14:textFill>
                  <w14:solidFill>
                    <w14:schemeClr w14:val="tx1"/>
                  </w14:solidFill>
                </w14:textFill>
              </w:rPr>
            </w:pPr>
          </w:p>
        </w:tc>
        <w:tc>
          <w:tcPr>
            <w:tcW w:w="4380" w:type="dxa"/>
            <w:vMerge w:val="continue"/>
            <w:vAlign w:val="center"/>
          </w:tcPr>
          <w:p>
            <w:pPr>
              <w:rPr>
                <w:color w:val="000000" w:themeColor="text1"/>
                <w:sz w:val="18"/>
                <w:szCs w:val="18"/>
                <w14:textFill>
                  <w14:solidFill>
                    <w14:schemeClr w14:val="tx1"/>
                  </w14:solidFill>
                </w14:textFill>
              </w:rPr>
            </w:pPr>
          </w:p>
        </w:tc>
        <w:tc>
          <w:tcPr>
            <w:tcW w:w="1380" w:type="dxa"/>
            <w:vMerge w:val="continue"/>
            <w:vAlign w:val="center"/>
          </w:tcPr>
          <w:p>
            <w:pPr>
              <w:rPr>
                <w:color w:val="000000" w:themeColor="text1"/>
                <w:sz w:val="18"/>
                <w:szCs w:val="18"/>
                <w14:textFill>
                  <w14:solidFill>
                    <w14:schemeClr w14:val="tx1"/>
                  </w14:solidFill>
                </w14:textFill>
              </w:rPr>
            </w:pPr>
          </w:p>
        </w:tc>
        <w:tc>
          <w:tcPr>
            <w:tcW w:w="1380" w:type="dxa"/>
            <w:vMerge w:val="continue"/>
            <w:vAlign w:val="center"/>
          </w:tcPr>
          <w:p>
            <w:pPr>
              <w:rPr>
                <w:color w:val="000000" w:themeColor="text1"/>
                <w:sz w:val="18"/>
                <w:szCs w:val="18"/>
                <w14:textFill>
                  <w14:solidFill>
                    <w14:schemeClr w14:val="tx1"/>
                  </w14:solidFill>
                </w14:textFill>
              </w:rPr>
            </w:pPr>
          </w:p>
        </w:tc>
        <w:tc>
          <w:tcPr>
            <w:tcW w:w="1380" w:type="dxa"/>
            <w:vMerge w:val="continue"/>
            <w:vAlign w:val="center"/>
          </w:tcPr>
          <w:p>
            <w:pPr>
              <w:rPr>
                <w:color w:val="000000" w:themeColor="text1"/>
                <w:sz w:val="18"/>
                <w:szCs w:val="18"/>
                <w14:textFill>
                  <w14:solidFill>
                    <w14:schemeClr w14:val="tx1"/>
                  </w14:solidFill>
                </w14:textFill>
              </w:rPr>
            </w:pPr>
          </w:p>
        </w:tc>
        <w:tc>
          <w:tcPr>
            <w:tcW w:w="1380" w:type="dxa"/>
            <w:vMerge w:val="continue"/>
            <w:vAlign w:val="center"/>
          </w:tcPr>
          <w:p>
            <w:pPr>
              <w:rPr>
                <w:color w:val="000000" w:themeColor="text1"/>
                <w:sz w:val="18"/>
                <w:szCs w:val="18"/>
                <w14:textFill>
                  <w14:solidFill>
                    <w14:schemeClr w14:val="tx1"/>
                  </w14:solidFill>
                </w14:textFill>
              </w:rPr>
            </w:pPr>
          </w:p>
        </w:tc>
        <w:tc>
          <w:tcPr>
            <w:tcW w:w="1380" w:type="dxa"/>
            <w:vMerge w:val="continue"/>
            <w:vAlign w:val="center"/>
          </w:tcPr>
          <w:p>
            <w:pPr>
              <w:rPr>
                <w:color w:val="000000" w:themeColor="text1"/>
                <w:sz w:val="18"/>
                <w:szCs w:val="18"/>
                <w14:textFill>
                  <w14:solidFill>
                    <w14:schemeClr w14:val="tx1"/>
                  </w14:solidFill>
                </w14:textFill>
              </w:rPr>
            </w:pPr>
          </w:p>
        </w:tc>
        <w:tc>
          <w:tcPr>
            <w:tcW w:w="1358" w:type="dxa"/>
            <w:vMerge w:val="continue"/>
            <w:vAlign w:val="center"/>
          </w:tcPr>
          <w:p>
            <w:pPr>
              <w:rPr>
                <w:color w:val="000000" w:themeColor="text1"/>
                <w:sz w:val="18"/>
                <w:szCs w:val="18"/>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栏次</w:t>
            </w:r>
          </w:p>
        </w:tc>
        <w:tc>
          <w:tcPr>
            <w:tcW w:w="13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w:t>
            </w:r>
          </w:p>
        </w:tc>
        <w:tc>
          <w:tcPr>
            <w:tcW w:w="13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w:t>
            </w:r>
          </w:p>
        </w:tc>
        <w:tc>
          <w:tcPr>
            <w:tcW w:w="13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w:t>
            </w:r>
          </w:p>
        </w:tc>
        <w:tc>
          <w:tcPr>
            <w:tcW w:w="13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4</w:t>
            </w:r>
          </w:p>
        </w:tc>
        <w:tc>
          <w:tcPr>
            <w:tcW w:w="13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5</w:t>
            </w:r>
          </w:p>
        </w:tc>
        <w:tc>
          <w:tcPr>
            <w:tcW w:w="1358"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合计</w:t>
            </w:r>
          </w:p>
        </w:tc>
        <w:tc>
          <w:tcPr>
            <w:tcW w:w="1380" w:type="dxa"/>
            <w:vAlign w:val="center"/>
          </w:tcPr>
          <w:p>
            <w:pPr>
              <w:rPr>
                <w:color w:val="000000" w:themeColor="text1"/>
                <w:sz w:val="18"/>
                <w:szCs w:val="18"/>
                <w14:textFill>
                  <w14:solidFill>
                    <w14:schemeClr w14:val="tx1"/>
                  </w14:solidFill>
                </w14:textFill>
              </w:rPr>
            </w:pPr>
          </w:p>
        </w:tc>
        <w:tc>
          <w:tcPr>
            <w:tcW w:w="1380" w:type="dxa"/>
            <w:vAlign w:val="center"/>
          </w:tcPr>
          <w:p>
            <w:pPr>
              <w:rPr>
                <w:color w:val="000000" w:themeColor="text1"/>
                <w:sz w:val="18"/>
                <w:szCs w:val="18"/>
                <w14:textFill>
                  <w14:solidFill>
                    <w14:schemeClr w14:val="tx1"/>
                  </w14:solidFill>
                </w14:textFill>
              </w:rPr>
            </w:pPr>
          </w:p>
        </w:tc>
        <w:tc>
          <w:tcPr>
            <w:tcW w:w="1380" w:type="dxa"/>
            <w:vAlign w:val="center"/>
          </w:tcPr>
          <w:p>
            <w:pPr>
              <w:rPr>
                <w:color w:val="000000" w:themeColor="text1"/>
                <w:sz w:val="18"/>
                <w:szCs w:val="18"/>
                <w14:textFill>
                  <w14:solidFill>
                    <w14:schemeClr w14:val="tx1"/>
                  </w14:solidFill>
                </w14:textFill>
              </w:rPr>
            </w:pPr>
          </w:p>
        </w:tc>
        <w:tc>
          <w:tcPr>
            <w:tcW w:w="1380" w:type="dxa"/>
            <w:vAlign w:val="center"/>
          </w:tcPr>
          <w:p>
            <w:pPr>
              <w:rPr>
                <w:color w:val="000000" w:themeColor="text1"/>
                <w:sz w:val="18"/>
                <w:szCs w:val="18"/>
                <w14:textFill>
                  <w14:solidFill>
                    <w14:schemeClr w14:val="tx1"/>
                  </w14:solidFill>
                </w14:textFill>
              </w:rPr>
            </w:pPr>
          </w:p>
        </w:tc>
        <w:tc>
          <w:tcPr>
            <w:tcW w:w="1380" w:type="dxa"/>
            <w:vAlign w:val="center"/>
          </w:tcPr>
          <w:p>
            <w:pPr>
              <w:rPr>
                <w:color w:val="000000" w:themeColor="text1"/>
                <w:sz w:val="18"/>
                <w:szCs w:val="18"/>
                <w14:textFill>
                  <w14:solidFill>
                    <w14:schemeClr w14:val="tx1"/>
                  </w14:solidFill>
                </w14:textFill>
              </w:rPr>
            </w:pPr>
          </w:p>
        </w:tc>
        <w:tc>
          <w:tcPr>
            <w:tcW w:w="1358" w:type="dxa"/>
            <w:vAlign w:val="center"/>
          </w:tcPr>
          <w:p>
            <w:pPr>
              <w:rPr>
                <w:color w:val="000000" w:themeColor="text1"/>
                <w:sz w:val="18"/>
                <w:szCs w:val="18"/>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Align w:val="center"/>
          </w:tcPr>
          <w:p>
            <w:pPr>
              <w:rPr>
                <w:color w:val="000000" w:themeColor="text1"/>
                <w:sz w:val="18"/>
                <w:szCs w:val="18"/>
                <w14:textFill>
                  <w14:solidFill>
                    <w14:schemeClr w14:val="tx1"/>
                  </w14:solidFill>
                </w14:textFill>
              </w:rPr>
            </w:pPr>
          </w:p>
        </w:tc>
        <w:tc>
          <w:tcPr>
            <w:tcW w:w="4380" w:type="dxa"/>
            <w:vAlign w:val="center"/>
          </w:tcPr>
          <w:p>
            <w:pPr>
              <w:rPr>
                <w:color w:val="000000" w:themeColor="text1"/>
                <w:sz w:val="18"/>
                <w:szCs w:val="18"/>
                <w14:textFill>
                  <w14:solidFill>
                    <w14:schemeClr w14:val="tx1"/>
                  </w14:solidFill>
                </w14:textFill>
              </w:rPr>
            </w:pPr>
          </w:p>
        </w:tc>
        <w:tc>
          <w:tcPr>
            <w:tcW w:w="1380" w:type="dxa"/>
            <w:vAlign w:val="center"/>
          </w:tcPr>
          <w:p>
            <w:pPr>
              <w:rPr>
                <w:color w:val="000000" w:themeColor="text1"/>
                <w:sz w:val="18"/>
                <w:szCs w:val="18"/>
                <w14:textFill>
                  <w14:solidFill>
                    <w14:schemeClr w14:val="tx1"/>
                  </w14:solidFill>
                </w14:textFill>
              </w:rPr>
            </w:pPr>
          </w:p>
        </w:tc>
        <w:tc>
          <w:tcPr>
            <w:tcW w:w="1380" w:type="dxa"/>
            <w:vAlign w:val="center"/>
          </w:tcPr>
          <w:p>
            <w:pPr>
              <w:rPr>
                <w:color w:val="000000" w:themeColor="text1"/>
                <w:sz w:val="18"/>
                <w:szCs w:val="18"/>
                <w14:textFill>
                  <w14:solidFill>
                    <w14:schemeClr w14:val="tx1"/>
                  </w14:solidFill>
                </w14:textFill>
              </w:rPr>
            </w:pPr>
          </w:p>
        </w:tc>
        <w:tc>
          <w:tcPr>
            <w:tcW w:w="1380" w:type="dxa"/>
            <w:vAlign w:val="center"/>
          </w:tcPr>
          <w:p>
            <w:pPr>
              <w:rPr>
                <w:color w:val="000000" w:themeColor="text1"/>
                <w:sz w:val="18"/>
                <w:szCs w:val="18"/>
                <w14:textFill>
                  <w14:solidFill>
                    <w14:schemeClr w14:val="tx1"/>
                  </w14:solidFill>
                </w14:textFill>
              </w:rPr>
            </w:pPr>
          </w:p>
        </w:tc>
        <w:tc>
          <w:tcPr>
            <w:tcW w:w="1380" w:type="dxa"/>
            <w:vAlign w:val="center"/>
          </w:tcPr>
          <w:p>
            <w:pPr>
              <w:rPr>
                <w:color w:val="000000" w:themeColor="text1"/>
                <w:sz w:val="18"/>
                <w:szCs w:val="18"/>
                <w14:textFill>
                  <w14:solidFill>
                    <w14:schemeClr w14:val="tx1"/>
                  </w14:solidFill>
                </w14:textFill>
              </w:rPr>
            </w:pPr>
          </w:p>
        </w:tc>
        <w:tc>
          <w:tcPr>
            <w:tcW w:w="1380" w:type="dxa"/>
            <w:vAlign w:val="center"/>
          </w:tcPr>
          <w:p>
            <w:pPr>
              <w:rPr>
                <w:color w:val="000000" w:themeColor="text1"/>
                <w:sz w:val="18"/>
                <w:szCs w:val="18"/>
                <w14:textFill>
                  <w14:solidFill>
                    <w14:schemeClr w14:val="tx1"/>
                  </w14:solidFill>
                </w14:textFill>
              </w:rPr>
            </w:pPr>
          </w:p>
        </w:tc>
        <w:tc>
          <w:tcPr>
            <w:tcW w:w="1358" w:type="dxa"/>
            <w:vAlign w:val="center"/>
          </w:tcPr>
          <w:p>
            <w:pPr>
              <w:rPr>
                <w:color w:val="000000" w:themeColor="text1"/>
                <w:sz w:val="18"/>
                <w:szCs w:val="18"/>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958" w:type="dxa"/>
            <w:gridSpan w:val="8"/>
            <w:tcBorders>
              <w:left w:val="nil"/>
              <w:bottom w:val="nil"/>
              <w:right w:val="nil"/>
              <w:insideH w:val="single" w:sz="4" w:space="0"/>
              <w:insideV w:val="single" w:sz="4" w:space="0"/>
            </w:tcBorders>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注：本表反映本年度政府性基金预算财政拨款收入、支出及结转和结余情况。</w:t>
            </w:r>
          </w:p>
        </w:tc>
      </w:tr>
    </w:tbl>
    <w:p>
      <w:pPr>
        <w:keepNext w:val="0"/>
        <w:keepLines w:val="0"/>
        <w:pageBreakBefore w:val="0"/>
        <w:widowControl/>
        <w:kinsoku/>
        <w:wordWrap w:val="0"/>
        <w:overflowPunct/>
        <w:topLinePunct w:val="0"/>
        <w:autoSpaceDE/>
        <w:autoSpaceDN/>
        <w:bidi w:val="0"/>
        <w:adjustRightInd/>
        <w:snapToGrid/>
        <w:ind w:left="63" w:leftChars="30"/>
        <w:jc w:val="left"/>
        <w:textAlignment w:val="center"/>
        <w:rPr>
          <w:rFonts w:hint="default" w:ascii="宋体" w:hAnsi="宋体" w:eastAsia="宋体" w:cs="宋体"/>
          <w:color w:val="000000" w:themeColor="text1"/>
          <w:kern w:val="0"/>
          <w:sz w:val="20"/>
          <w:szCs w:val="20"/>
          <w:lang w:val="en-US" w:eastAsia="zh-CN"/>
          <w14:textFill>
            <w14:solidFill>
              <w14:schemeClr w14:val="tx1"/>
            </w14:solidFill>
          </w14:textFill>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themeColor="text1"/>
          <w:kern w:val="0"/>
          <w:sz w:val="18"/>
          <w:szCs w:val="18"/>
          <w:lang w:val="en-US" w:eastAsia="zh-CN"/>
          <w14:textFill>
            <w14:solidFill>
              <w14:schemeClr w14:val="tx1"/>
            </w14:solidFill>
          </w14:textFill>
        </w:rPr>
        <w:t>说明：我部门没有政府性基金收入，也没有使用政府性基金安排的支出，故本表无数据。</w:t>
      </w: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themeColor="text1"/>
          <w:kern w:val="0"/>
          <w:sz w:val="20"/>
          <w:szCs w:val="20"/>
          <w:lang w:val="en-US" w:eastAsia="zh-CN"/>
          <w14:textFill>
            <w14:solidFill>
              <w14:schemeClr w14:val="tx1"/>
            </w14:solidFill>
          </w14:textFill>
        </w:rPr>
      </w:pPr>
      <w:r>
        <w:rPr>
          <w:rFonts w:hint="eastAsia" w:ascii="华文中宋" w:hAnsi="华文中宋" w:eastAsia="华文中宋" w:cs="宋体"/>
          <w:color w:val="000000" w:themeColor="text1"/>
          <w:kern w:val="0"/>
          <w:sz w:val="32"/>
          <w:szCs w:val="32"/>
          <w:lang w:val="en-US" w:eastAsia="zh-CN"/>
          <w14:textFill>
            <w14:solidFill>
              <w14:schemeClr w14:val="tx1"/>
            </w14:solidFill>
          </w14:textFill>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rPr>
                <w:color w:val="000000" w:themeColor="text1"/>
                <w:sz w:val="18"/>
                <w:szCs w:val="18"/>
                <w14:textFill>
                  <w14:solidFill>
                    <w14:schemeClr w14:val="tx1"/>
                  </w14:solidFill>
                </w14:textFill>
              </w:rPr>
            </w:pPr>
            <w:r>
              <w:rPr>
                <w:rFonts w:ascii="宋体" w:hAnsi="宋体" w:eastAsia="宋体" w:cs="宋体"/>
                <w:color w:val="000000" w:themeColor="text1"/>
                <w:sz w:val="18"/>
                <w:szCs w:val="18"/>
                <w14:textFill>
                  <w14:solidFill>
                    <w14:schemeClr w14:val="tx1"/>
                  </w14:solidFill>
                </w14:textFill>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rPr>
                <w:color w:val="000000" w:themeColor="text1"/>
                <w:sz w:val="18"/>
                <w:szCs w:val="18"/>
                <w14:textFill>
                  <w14:solidFill>
                    <w14:schemeClr w14:val="tx1"/>
                  </w14:solidFill>
                </w14:textFill>
              </w:rPr>
            </w:pPr>
            <w:r>
              <w:rPr>
                <w:rFonts w:ascii="宋体" w:hAnsi="宋体" w:eastAsia="宋体" w:cs="宋体"/>
                <w:color w:val="000000" w:themeColor="text1"/>
                <w:sz w:val="18"/>
                <w:szCs w:val="18"/>
                <w14:textFill>
                  <w14:solidFill>
                    <w14:schemeClr w14:val="tx1"/>
                  </w14:solidFill>
                </w14:textFill>
              </w:rPr>
              <w:t>部门：中共郸城县纪律检查委员会</w:t>
            </w:r>
          </w:p>
        </w:tc>
        <w:tc>
          <w:tcPr>
            <w:tcW w:w="2000" w:type="dxa"/>
          </w:tcPr>
          <w:p>
            <w:pPr>
              <w:jc w:val="center"/>
              <w:rPr>
                <w:color w:val="000000" w:themeColor="text1"/>
                <w:sz w:val="18"/>
                <w:szCs w:val="18"/>
                <w14:textFill>
                  <w14:solidFill>
                    <w14:schemeClr w14:val="tx1"/>
                  </w14:solidFill>
                </w14:textFill>
              </w:rPr>
            </w:pPr>
            <w:r>
              <w:rPr>
                <w:rFonts w:ascii="宋体" w:hAnsi="宋体" w:eastAsia="宋体" w:cs="宋体"/>
                <w:color w:val="000000" w:themeColor="text1"/>
                <w:sz w:val="18"/>
                <w:szCs w:val="18"/>
                <w14:textFill>
                  <w14:solidFill>
                    <w14:schemeClr w14:val="tx1"/>
                  </w14:solidFill>
                </w14:textFill>
              </w:rPr>
              <w:t>2024年度</w:t>
            </w:r>
          </w:p>
        </w:tc>
        <w:tc>
          <w:tcPr>
            <w:tcW w:w="5979" w:type="dxa"/>
          </w:tcPr>
          <w:p>
            <w:pPr>
              <w:jc w:val="right"/>
              <w:rPr>
                <w:rFonts w:hint="eastAsia" w:eastAsia="宋体"/>
                <w:color w:val="000000" w:themeColor="text1"/>
                <w:sz w:val="18"/>
                <w:szCs w:val="18"/>
                <w:lang w:eastAsia="zh-CN"/>
                <w14:textFill>
                  <w14:solidFill>
                    <w14:schemeClr w14:val="tx1"/>
                  </w14:solidFill>
                </w14:textFill>
              </w:rPr>
            </w:pPr>
            <w:r>
              <w:rPr>
                <w:rFonts w:hint="eastAsia" w:ascii="宋体" w:hAnsi="宋体" w:cs="宋体"/>
                <w:color w:val="000000" w:themeColor="text1"/>
                <w:sz w:val="18"/>
                <w:szCs w:val="18"/>
                <w:lang w:eastAsia="zh-CN"/>
                <w14:textFill>
                  <w14:solidFill>
                    <w14:schemeClr w14:val="tx1"/>
                  </w14:solidFill>
                </w14:textFill>
              </w:rPr>
              <w:t>金额单位：万元</w:t>
            </w:r>
          </w:p>
        </w:tc>
      </w:tr>
    </w:tbl>
    <w:p>
      <w:pPr>
        <w:snapToGrid w:val="0"/>
        <w:spacing w:before="0" w:after="0" w:line="0" w:lineRule="auto"/>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项目</w:t>
            </w:r>
          </w:p>
        </w:tc>
        <w:tc>
          <w:tcPr>
            <w:tcW w:w="6518" w:type="dxa"/>
            <w:gridSpan w:val="3"/>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restart"/>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科目代码</w:t>
            </w:r>
          </w:p>
        </w:tc>
        <w:tc>
          <w:tcPr>
            <w:tcW w:w="5580" w:type="dxa"/>
            <w:vMerge w:val="restart"/>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科目名称</w:t>
            </w:r>
          </w:p>
        </w:tc>
        <w:tc>
          <w:tcPr>
            <w:tcW w:w="2180" w:type="dxa"/>
            <w:vMerge w:val="restart"/>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合计</w:t>
            </w:r>
          </w:p>
        </w:tc>
        <w:tc>
          <w:tcPr>
            <w:tcW w:w="2180" w:type="dxa"/>
            <w:vMerge w:val="restart"/>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基本支出</w:t>
            </w:r>
          </w:p>
        </w:tc>
        <w:tc>
          <w:tcPr>
            <w:tcW w:w="2158" w:type="dxa"/>
            <w:vMerge w:val="restart"/>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pPr>
              <w:rPr>
                <w:color w:val="000000" w:themeColor="text1"/>
                <w:sz w:val="18"/>
                <w:szCs w:val="18"/>
                <w14:textFill>
                  <w14:solidFill>
                    <w14:schemeClr w14:val="tx1"/>
                  </w14:solidFill>
                </w14:textFill>
              </w:rPr>
            </w:pPr>
          </w:p>
        </w:tc>
        <w:tc>
          <w:tcPr>
            <w:tcW w:w="5580" w:type="dxa"/>
            <w:vMerge w:val="continue"/>
            <w:vAlign w:val="center"/>
          </w:tcPr>
          <w:p>
            <w:pPr>
              <w:rPr>
                <w:color w:val="000000" w:themeColor="text1"/>
                <w:sz w:val="18"/>
                <w:szCs w:val="18"/>
                <w14:textFill>
                  <w14:solidFill>
                    <w14:schemeClr w14:val="tx1"/>
                  </w14:solidFill>
                </w14:textFill>
              </w:rPr>
            </w:pPr>
          </w:p>
        </w:tc>
        <w:tc>
          <w:tcPr>
            <w:tcW w:w="2180" w:type="dxa"/>
            <w:vMerge w:val="continue"/>
            <w:vAlign w:val="center"/>
          </w:tcPr>
          <w:p>
            <w:pPr>
              <w:rPr>
                <w:color w:val="000000" w:themeColor="text1"/>
                <w:sz w:val="18"/>
                <w:szCs w:val="18"/>
                <w14:textFill>
                  <w14:solidFill>
                    <w14:schemeClr w14:val="tx1"/>
                  </w14:solidFill>
                </w14:textFill>
              </w:rPr>
            </w:pPr>
          </w:p>
        </w:tc>
        <w:tc>
          <w:tcPr>
            <w:tcW w:w="2180" w:type="dxa"/>
            <w:vMerge w:val="continue"/>
            <w:vAlign w:val="center"/>
          </w:tcPr>
          <w:p>
            <w:pPr>
              <w:rPr>
                <w:color w:val="000000" w:themeColor="text1"/>
                <w:sz w:val="18"/>
                <w:szCs w:val="18"/>
                <w14:textFill>
                  <w14:solidFill>
                    <w14:schemeClr w14:val="tx1"/>
                  </w14:solidFill>
                </w14:textFill>
              </w:rPr>
            </w:pPr>
          </w:p>
        </w:tc>
        <w:tc>
          <w:tcPr>
            <w:tcW w:w="2158" w:type="dxa"/>
            <w:vMerge w:val="continue"/>
            <w:vAlign w:val="center"/>
          </w:tcPr>
          <w:p>
            <w:pPr>
              <w:rPr>
                <w:color w:val="000000" w:themeColor="text1"/>
                <w:sz w:val="18"/>
                <w:szCs w:val="18"/>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pPr>
              <w:rPr>
                <w:color w:val="000000" w:themeColor="text1"/>
                <w:sz w:val="18"/>
                <w:szCs w:val="18"/>
                <w14:textFill>
                  <w14:solidFill>
                    <w14:schemeClr w14:val="tx1"/>
                  </w14:solidFill>
                </w14:textFill>
              </w:rPr>
            </w:pPr>
          </w:p>
        </w:tc>
        <w:tc>
          <w:tcPr>
            <w:tcW w:w="5580" w:type="dxa"/>
            <w:vMerge w:val="continue"/>
            <w:vAlign w:val="center"/>
          </w:tcPr>
          <w:p>
            <w:pPr>
              <w:rPr>
                <w:color w:val="000000" w:themeColor="text1"/>
                <w:sz w:val="18"/>
                <w:szCs w:val="18"/>
                <w14:textFill>
                  <w14:solidFill>
                    <w14:schemeClr w14:val="tx1"/>
                  </w14:solidFill>
                </w14:textFill>
              </w:rPr>
            </w:pPr>
          </w:p>
        </w:tc>
        <w:tc>
          <w:tcPr>
            <w:tcW w:w="2180" w:type="dxa"/>
            <w:vMerge w:val="continue"/>
            <w:vAlign w:val="center"/>
          </w:tcPr>
          <w:p>
            <w:pPr>
              <w:rPr>
                <w:color w:val="000000" w:themeColor="text1"/>
                <w:sz w:val="18"/>
                <w:szCs w:val="18"/>
                <w14:textFill>
                  <w14:solidFill>
                    <w14:schemeClr w14:val="tx1"/>
                  </w14:solidFill>
                </w14:textFill>
              </w:rPr>
            </w:pPr>
          </w:p>
        </w:tc>
        <w:tc>
          <w:tcPr>
            <w:tcW w:w="2180" w:type="dxa"/>
            <w:vMerge w:val="continue"/>
            <w:vAlign w:val="center"/>
          </w:tcPr>
          <w:p>
            <w:pPr>
              <w:rPr>
                <w:color w:val="000000" w:themeColor="text1"/>
                <w:sz w:val="18"/>
                <w:szCs w:val="18"/>
                <w14:textFill>
                  <w14:solidFill>
                    <w14:schemeClr w14:val="tx1"/>
                  </w14:solidFill>
                </w14:textFill>
              </w:rPr>
            </w:pPr>
          </w:p>
        </w:tc>
        <w:tc>
          <w:tcPr>
            <w:tcW w:w="2158" w:type="dxa"/>
            <w:vMerge w:val="continue"/>
            <w:vAlign w:val="center"/>
          </w:tcPr>
          <w:p>
            <w:pPr>
              <w:rPr>
                <w:color w:val="000000" w:themeColor="text1"/>
                <w:sz w:val="18"/>
                <w:szCs w:val="18"/>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栏次</w:t>
            </w:r>
          </w:p>
        </w:tc>
        <w:tc>
          <w:tcPr>
            <w:tcW w:w="21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w:t>
            </w:r>
          </w:p>
        </w:tc>
        <w:tc>
          <w:tcPr>
            <w:tcW w:w="218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w:t>
            </w:r>
          </w:p>
        </w:tc>
        <w:tc>
          <w:tcPr>
            <w:tcW w:w="2158"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合计</w:t>
            </w:r>
          </w:p>
        </w:tc>
        <w:tc>
          <w:tcPr>
            <w:tcW w:w="218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218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2158"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Align w:val="center"/>
          </w:tcPr>
          <w:p>
            <w:pPr>
              <w:rPr>
                <w:color w:val="000000" w:themeColor="text1"/>
                <w:sz w:val="18"/>
                <w:szCs w:val="18"/>
                <w14:textFill>
                  <w14:solidFill>
                    <w14:schemeClr w14:val="tx1"/>
                  </w14:solidFill>
                </w14:textFill>
              </w:rPr>
            </w:pPr>
          </w:p>
        </w:tc>
        <w:tc>
          <w:tcPr>
            <w:tcW w:w="5580" w:type="dxa"/>
            <w:vAlign w:val="center"/>
          </w:tcPr>
          <w:p>
            <w:pPr>
              <w:rPr>
                <w:color w:val="000000" w:themeColor="text1"/>
                <w:sz w:val="18"/>
                <w:szCs w:val="18"/>
                <w14:textFill>
                  <w14:solidFill>
                    <w14:schemeClr w14:val="tx1"/>
                  </w14:solidFill>
                </w14:textFill>
              </w:rPr>
            </w:pPr>
          </w:p>
        </w:tc>
        <w:tc>
          <w:tcPr>
            <w:tcW w:w="2180" w:type="dxa"/>
            <w:vAlign w:val="center"/>
          </w:tcPr>
          <w:p>
            <w:pPr>
              <w:rPr>
                <w:color w:val="000000" w:themeColor="text1"/>
                <w:sz w:val="18"/>
                <w:szCs w:val="18"/>
                <w14:textFill>
                  <w14:solidFill>
                    <w14:schemeClr w14:val="tx1"/>
                  </w14:solidFill>
                </w14:textFill>
              </w:rPr>
            </w:pPr>
          </w:p>
        </w:tc>
        <w:tc>
          <w:tcPr>
            <w:tcW w:w="2180" w:type="dxa"/>
            <w:vAlign w:val="center"/>
          </w:tcPr>
          <w:p>
            <w:pPr>
              <w:rPr>
                <w:color w:val="000000" w:themeColor="text1"/>
                <w:sz w:val="18"/>
                <w:szCs w:val="18"/>
                <w14:textFill>
                  <w14:solidFill>
                    <w14:schemeClr w14:val="tx1"/>
                  </w14:solidFill>
                </w14:textFill>
              </w:rPr>
            </w:pPr>
          </w:p>
        </w:tc>
        <w:tc>
          <w:tcPr>
            <w:tcW w:w="2158" w:type="dxa"/>
            <w:vAlign w:val="center"/>
          </w:tcPr>
          <w:p>
            <w:pPr>
              <w:rPr>
                <w:color w:val="000000" w:themeColor="text1"/>
                <w:sz w:val="18"/>
                <w:szCs w:val="18"/>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3958" w:type="dxa"/>
            <w:gridSpan w:val="5"/>
            <w:tcBorders>
              <w:left w:val="nil"/>
              <w:bottom w:val="nil"/>
              <w:right w:val="nil"/>
              <w:insideH w:val="single" w:sz="4" w:space="0"/>
              <w:insideV w:val="single" w:sz="4" w:space="0"/>
            </w:tcBorders>
            <w:vAlign w:val="center"/>
          </w:tcPr>
          <w:p>
            <w:pPr>
              <w:snapToGrid w:val="0"/>
              <w:jc w:val="lef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hint="default" w:ascii="宋体" w:hAnsi="宋体" w:eastAsia="宋体" w:cs="宋体"/>
          <w:color w:val="000000" w:themeColor="text1"/>
          <w:kern w:val="0"/>
          <w:sz w:val="20"/>
          <w:szCs w:val="20"/>
          <w:lang w:val="en-US" w:eastAsia="zh-CN"/>
          <w14:textFill>
            <w14:solidFill>
              <w14:schemeClr w14:val="tx1"/>
            </w14:solidFill>
          </w14:textFill>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themeColor="text1"/>
          <w:kern w:val="0"/>
          <w:sz w:val="18"/>
          <w:szCs w:val="18"/>
          <w:lang w:val="en-US" w:eastAsia="zh-CN"/>
          <w14:textFill>
            <w14:solidFill>
              <w14:schemeClr w14:val="tx1"/>
            </w14:solidFill>
          </w14:textFill>
        </w:rPr>
        <w:t xml:space="preserve">说明：我部门没有使用国有资本经营预算安排的支出，故本表无数据。 </w:t>
      </w:r>
    </w:p>
    <w:p>
      <w:pPr>
        <w:keepNext w:val="0"/>
        <w:keepLines w:val="0"/>
        <w:pageBreakBefore w:val="0"/>
        <w:kinsoku/>
        <w:wordWrap w:val="0"/>
        <w:overflowPunct/>
        <w:topLinePunct w:val="0"/>
        <w:autoSpaceDE/>
        <w:autoSpaceDN/>
        <w:bidi w:val="0"/>
        <w:jc w:val="center"/>
        <w:rPr>
          <w:rFonts w:hint="eastAsia" w:ascii="宋体" w:hAnsi="宋体" w:cs="宋体"/>
          <w:color w:val="000000" w:themeColor="text1"/>
          <w:kern w:val="0"/>
          <w:sz w:val="20"/>
          <w:szCs w:val="20"/>
          <w:lang w:val="en-US" w:eastAsia="zh-CN"/>
          <w14:textFill>
            <w14:solidFill>
              <w14:schemeClr w14:val="tx1"/>
            </w14:solidFill>
          </w14:textFill>
        </w:rPr>
      </w:pPr>
      <w:r>
        <w:rPr>
          <w:rFonts w:hint="eastAsia" w:ascii="华文中宋" w:hAnsi="华文中宋" w:eastAsia="华文中宋" w:cs="华文中宋"/>
          <w:color w:val="000000" w:themeColor="text1"/>
          <w:kern w:val="0"/>
          <w:sz w:val="32"/>
          <w:szCs w:val="32"/>
          <w:lang w:val="en-US" w:eastAsia="zh-CN"/>
          <w14:textFill>
            <w14:solidFill>
              <w14:schemeClr w14:val="tx1"/>
            </w14:solidFill>
          </w14:textFill>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rPr>
                <w:color w:val="000000" w:themeColor="text1"/>
                <w:sz w:val="18"/>
                <w:szCs w:val="18"/>
                <w14:textFill>
                  <w14:solidFill>
                    <w14:schemeClr w14:val="tx1"/>
                  </w14:solidFill>
                </w14:textFill>
              </w:rPr>
            </w:pPr>
            <w:r>
              <w:rPr>
                <w:rFonts w:ascii="宋体" w:hAnsi="宋体" w:eastAsia="宋体" w:cs="宋体"/>
                <w:color w:val="000000" w:themeColor="text1"/>
                <w:sz w:val="18"/>
                <w:szCs w:val="18"/>
                <w14:textFill>
                  <w14:solidFill>
                    <w14:schemeClr w14:val="tx1"/>
                  </w14:solidFill>
                </w14:textFill>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rPr>
                <w:color w:val="000000" w:themeColor="text1"/>
                <w:sz w:val="18"/>
                <w:szCs w:val="18"/>
                <w14:textFill>
                  <w14:solidFill>
                    <w14:schemeClr w14:val="tx1"/>
                  </w14:solidFill>
                </w14:textFill>
              </w:rPr>
            </w:pPr>
            <w:r>
              <w:rPr>
                <w:rFonts w:ascii="宋体" w:hAnsi="宋体" w:eastAsia="宋体" w:cs="宋体"/>
                <w:color w:val="000000" w:themeColor="text1"/>
                <w:sz w:val="18"/>
                <w:szCs w:val="18"/>
                <w14:textFill>
                  <w14:solidFill>
                    <w14:schemeClr w14:val="tx1"/>
                  </w14:solidFill>
                </w14:textFill>
              </w:rPr>
              <w:t>部门：中共郸城县纪律检查委员会</w:t>
            </w:r>
          </w:p>
        </w:tc>
        <w:tc>
          <w:tcPr>
            <w:tcW w:w="2000" w:type="dxa"/>
          </w:tcPr>
          <w:p>
            <w:pPr>
              <w:jc w:val="center"/>
              <w:rPr>
                <w:color w:val="000000" w:themeColor="text1"/>
                <w:sz w:val="18"/>
                <w:szCs w:val="18"/>
                <w14:textFill>
                  <w14:solidFill>
                    <w14:schemeClr w14:val="tx1"/>
                  </w14:solidFill>
                </w14:textFill>
              </w:rPr>
            </w:pPr>
            <w:r>
              <w:rPr>
                <w:rFonts w:ascii="宋体" w:hAnsi="宋体" w:eastAsia="宋体" w:cs="宋体"/>
                <w:color w:val="000000" w:themeColor="text1"/>
                <w:sz w:val="18"/>
                <w:szCs w:val="18"/>
                <w14:textFill>
                  <w14:solidFill>
                    <w14:schemeClr w14:val="tx1"/>
                  </w14:solidFill>
                </w14:textFill>
              </w:rPr>
              <w:t>2024年度</w:t>
            </w:r>
          </w:p>
        </w:tc>
        <w:tc>
          <w:tcPr>
            <w:tcW w:w="5979" w:type="dxa"/>
          </w:tcPr>
          <w:p>
            <w:pPr>
              <w:jc w:val="right"/>
              <w:rPr>
                <w:rFonts w:hint="eastAsia" w:eastAsia="宋体"/>
                <w:color w:val="000000" w:themeColor="text1"/>
                <w:sz w:val="18"/>
                <w:szCs w:val="18"/>
                <w:lang w:eastAsia="zh-CN"/>
                <w14:textFill>
                  <w14:solidFill>
                    <w14:schemeClr w14:val="tx1"/>
                  </w14:solidFill>
                </w14:textFill>
              </w:rPr>
            </w:pPr>
            <w:r>
              <w:rPr>
                <w:rFonts w:hint="eastAsia" w:ascii="宋体" w:hAnsi="宋体" w:cs="宋体"/>
                <w:color w:val="000000" w:themeColor="text1"/>
                <w:sz w:val="18"/>
                <w:szCs w:val="18"/>
                <w:lang w:eastAsia="zh-CN"/>
                <w14:textFill>
                  <w14:solidFill>
                    <w14:schemeClr w14:val="tx1"/>
                  </w14:solidFill>
                </w14:textFill>
              </w:rPr>
              <w:t>金额单位：万元</w:t>
            </w:r>
          </w:p>
        </w:tc>
      </w:tr>
    </w:tbl>
    <w:p>
      <w:pPr>
        <w:snapToGrid w:val="0"/>
        <w:spacing w:before="0" w:after="0" w:line="0" w:lineRule="auto"/>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6960" w:type="dxa"/>
            <w:gridSpan w:val="6"/>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预算数</w:t>
            </w:r>
          </w:p>
        </w:tc>
        <w:tc>
          <w:tcPr>
            <w:tcW w:w="6998" w:type="dxa"/>
            <w:gridSpan w:val="6"/>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Merge w:val="restart"/>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合计</w:t>
            </w:r>
          </w:p>
        </w:tc>
        <w:tc>
          <w:tcPr>
            <w:tcW w:w="1160" w:type="dxa"/>
            <w:vMerge w:val="restart"/>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因公出国（境）费</w:t>
            </w:r>
          </w:p>
        </w:tc>
        <w:tc>
          <w:tcPr>
            <w:tcW w:w="3480" w:type="dxa"/>
            <w:gridSpan w:val="3"/>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公务用车购置及运行维护费</w:t>
            </w:r>
          </w:p>
        </w:tc>
        <w:tc>
          <w:tcPr>
            <w:tcW w:w="1160" w:type="dxa"/>
            <w:vMerge w:val="restart"/>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公务接待费</w:t>
            </w:r>
          </w:p>
        </w:tc>
        <w:tc>
          <w:tcPr>
            <w:tcW w:w="1160" w:type="dxa"/>
            <w:vMerge w:val="restart"/>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合计</w:t>
            </w:r>
          </w:p>
        </w:tc>
        <w:tc>
          <w:tcPr>
            <w:tcW w:w="1160" w:type="dxa"/>
            <w:vMerge w:val="restart"/>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因公出国（境）费</w:t>
            </w:r>
          </w:p>
        </w:tc>
        <w:tc>
          <w:tcPr>
            <w:tcW w:w="3480" w:type="dxa"/>
            <w:gridSpan w:val="3"/>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公务用车购置及运行维护费</w:t>
            </w:r>
          </w:p>
        </w:tc>
        <w:tc>
          <w:tcPr>
            <w:tcW w:w="1198" w:type="dxa"/>
            <w:vMerge w:val="restart"/>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公务接待费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742" w:hRule="exact"/>
          <w:jc w:val="center"/>
        </w:trPr>
        <w:tc>
          <w:tcPr>
            <w:tcW w:w="1160" w:type="dxa"/>
            <w:vMerge w:val="continue"/>
            <w:vAlign w:val="center"/>
          </w:tcPr>
          <w:p>
            <w:pPr>
              <w:rPr>
                <w:color w:val="000000" w:themeColor="text1"/>
                <w:sz w:val="18"/>
                <w:szCs w:val="18"/>
                <w14:textFill>
                  <w14:solidFill>
                    <w14:schemeClr w14:val="tx1"/>
                  </w14:solidFill>
                </w14:textFill>
              </w:rPr>
            </w:pPr>
          </w:p>
        </w:tc>
        <w:tc>
          <w:tcPr>
            <w:tcW w:w="1160" w:type="dxa"/>
            <w:vMerge w:val="continue"/>
            <w:vAlign w:val="center"/>
          </w:tcPr>
          <w:p>
            <w:pPr>
              <w:rPr>
                <w:color w:val="000000" w:themeColor="text1"/>
                <w:sz w:val="18"/>
                <w:szCs w:val="18"/>
                <w14:textFill>
                  <w14:solidFill>
                    <w14:schemeClr w14:val="tx1"/>
                  </w14:solidFill>
                </w14:textFill>
              </w:rPr>
            </w:pPr>
          </w:p>
        </w:tc>
        <w:tc>
          <w:tcPr>
            <w:tcW w:w="116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小计</w:t>
            </w:r>
          </w:p>
        </w:tc>
        <w:tc>
          <w:tcPr>
            <w:tcW w:w="116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公务用车购置费</w:t>
            </w:r>
          </w:p>
        </w:tc>
        <w:tc>
          <w:tcPr>
            <w:tcW w:w="116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公务用车运行维护费</w:t>
            </w:r>
          </w:p>
        </w:tc>
        <w:tc>
          <w:tcPr>
            <w:tcW w:w="1160" w:type="dxa"/>
            <w:vMerge w:val="continue"/>
            <w:vAlign w:val="center"/>
          </w:tcPr>
          <w:p>
            <w:pPr>
              <w:rPr>
                <w:color w:val="000000" w:themeColor="text1"/>
                <w:sz w:val="18"/>
                <w:szCs w:val="18"/>
                <w14:textFill>
                  <w14:solidFill>
                    <w14:schemeClr w14:val="tx1"/>
                  </w14:solidFill>
                </w14:textFill>
              </w:rPr>
            </w:pPr>
          </w:p>
        </w:tc>
        <w:tc>
          <w:tcPr>
            <w:tcW w:w="1160" w:type="dxa"/>
            <w:vMerge w:val="continue"/>
            <w:vAlign w:val="center"/>
          </w:tcPr>
          <w:p>
            <w:pPr>
              <w:rPr>
                <w:color w:val="000000" w:themeColor="text1"/>
                <w:sz w:val="18"/>
                <w:szCs w:val="18"/>
                <w14:textFill>
                  <w14:solidFill>
                    <w14:schemeClr w14:val="tx1"/>
                  </w14:solidFill>
                </w14:textFill>
              </w:rPr>
            </w:pPr>
          </w:p>
        </w:tc>
        <w:tc>
          <w:tcPr>
            <w:tcW w:w="1160" w:type="dxa"/>
            <w:vMerge w:val="continue"/>
            <w:vAlign w:val="center"/>
          </w:tcPr>
          <w:p>
            <w:pPr>
              <w:rPr>
                <w:color w:val="000000" w:themeColor="text1"/>
                <w:sz w:val="18"/>
                <w:szCs w:val="18"/>
                <w14:textFill>
                  <w14:solidFill>
                    <w14:schemeClr w14:val="tx1"/>
                  </w14:solidFill>
                </w14:textFill>
              </w:rPr>
            </w:pPr>
          </w:p>
        </w:tc>
        <w:tc>
          <w:tcPr>
            <w:tcW w:w="116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小计</w:t>
            </w:r>
          </w:p>
        </w:tc>
        <w:tc>
          <w:tcPr>
            <w:tcW w:w="116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公务用车购置费</w:t>
            </w:r>
          </w:p>
        </w:tc>
        <w:tc>
          <w:tcPr>
            <w:tcW w:w="116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公务用车运行维护费</w:t>
            </w:r>
          </w:p>
        </w:tc>
        <w:tc>
          <w:tcPr>
            <w:tcW w:w="1198" w:type="dxa"/>
            <w:vMerge w:val="continue"/>
            <w:vAlign w:val="center"/>
          </w:tcPr>
          <w:p>
            <w:pPr>
              <w:rPr>
                <w:color w:val="000000" w:themeColor="text1"/>
                <w:sz w:val="18"/>
                <w:szCs w:val="18"/>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w:t>
            </w:r>
          </w:p>
        </w:tc>
        <w:tc>
          <w:tcPr>
            <w:tcW w:w="116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2</w:t>
            </w:r>
          </w:p>
        </w:tc>
        <w:tc>
          <w:tcPr>
            <w:tcW w:w="116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w:t>
            </w:r>
          </w:p>
        </w:tc>
        <w:tc>
          <w:tcPr>
            <w:tcW w:w="116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4</w:t>
            </w:r>
          </w:p>
        </w:tc>
        <w:tc>
          <w:tcPr>
            <w:tcW w:w="116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5</w:t>
            </w:r>
          </w:p>
        </w:tc>
        <w:tc>
          <w:tcPr>
            <w:tcW w:w="116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6</w:t>
            </w:r>
          </w:p>
        </w:tc>
        <w:tc>
          <w:tcPr>
            <w:tcW w:w="116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7</w:t>
            </w:r>
          </w:p>
        </w:tc>
        <w:tc>
          <w:tcPr>
            <w:tcW w:w="116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8</w:t>
            </w:r>
          </w:p>
        </w:tc>
        <w:tc>
          <w:tcPr>
            <w:tcW w:w="116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9</w:t>
            </w:r>
          </w:p>
        </w:tc>
        <w:tc>
          <w:tcPr>
            <w:tcW w:w="116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10</w:t>
            </w:r>
          </w:p>
        </w:tc>
        <w:tc>
          <w:tcPr>
            <w:tcW w:w="1160"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11</w:t>
            </w:r>
          </w:p>
        </w:tc>
        <w:tc>
          <w:tcPr>
            <w:tcW w:w="1198" w:type="dxa"/>
            <w:vAlign w:val="center"/>
          </w:tcPr>
          <w:p>
            <w:pPr>
              <w:snapToGrid w:val="0"/>
              <w:jc w:val="center"/>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12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35.00</w:t>
            </w:r>
          </w:p>
        </w:tc>
        <w:tc>
          <w:tcPr>
            <w:tcW w:w="11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1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35.00</w:t>
            </w:r>
          </w:p>
        </w:tc>
        <w:tc>
          <w:tcPr>
            <w:tcW w:w="11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1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35.00</w:t>
            </w:r>
          </w:p>
        </w:tc>
        <w:tc>
          <w:tcPr>
            <w:tcW w:w="11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1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33.56</w:t>
            </w:r>
          </w:p>
        </w:tc>
        <w:tc>
          <w:tcPr>
            <w:tcW w:w="11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1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33.56</w:t>
            </w:r>
          </w:p>
        </w:tc>
        <w:tc>
          <w:tcPr>
            <w:tcW w:w="11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c>
          <w:tcPr>
            <w:tcW w:w="1160"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33.56</w:t>
            </w:r>
          </w:p>
        </w:tc>
        <w:tc>
          <w:tcPr>
            <w:tcW w:w="1198" w:type="dxa"/>
            <w:vAlign w:val="center"/>
          </w:tcPr>
          <w:p>
            <w:pPr>
              <w:snapToGrid w:val="0"/>
              <w:jc w:val="right"/>
              <w:rPr>
                <w:color w:val="000000" w:themeColor="text1"/>
                <w:sz w:val="18"/>
                <w:szCs w:val="18"/>
                <w14:textFill>
                  <w14:solidFill>
                    <w14:schemeClr w14:val="tx1"/>
                  </w14:solidFill>
                </w14:textFill>
              </w:rPr>
            </w:pPr>
            <w:r>
              <w:rPr>
                <w:rFonts w:ascii="宋体" w:hAnsi="宋体" w:eastAsia="宋体" w:cs="宋体"/>
                <w:b w:val="0"/>
                <w:i w:val="0"/>
                <w:color w:val="000000" w:themeColor="text1"/>
                <w:sz w:val="18"/>
                <w:szCs w:val="18"/>
                <w14:textFill>
                  <w14:solidFill>
                    <w14:schemeClr w14:val="tx1"/>
                  </w14:solidFill>
                </w14:textFill>
              </w:rPr>
              <w:t xml:space="preserve"> 0.00</w:t>
            </w:r>
          </w:p>
        </w:tc>
      </w:tr>
    </w:tbl>
    <w:p>
      <w:pPr>
        <w:rPr>
          <w:color w:val="000000" w:themeColor="text1"/>
          <w:sz w:val="18"/>
          <w:szCs w:val="18"/>
          <w14:textFill>
            <w14:solidFill>
              <w14:schemeClr w14:val="tx1"/>
            </w14:solidFill>
          </w14:textFill>
        </w:rPr>
        <w:sectPr>
          <w:pgSz w:w="16838" w:h="11906" w:orient="landscape"/>
          <w:pgMar w:top="1800" w:right="1440" w:bottom="1800" w:left="1440" w:header="720" w:footer="720" w:gutter="0"/>
          <w:pgNumType w:fmt="numberInDash"/>
          <w:cols w:space="720" w:num="1"/>
          <w:docGrid w:type="lines" w:linePitch="312" w:charSpace="0"/>
        </w:sectPr>
      </w:pPr>
      <w:r>
        <w:rPr>
          <w:rFonts w:hint="eastAsia" w:asciiTheme="minorEastAsia" w:hAnsiTheme="minorEastAsia" w:eastAsiaTheme="minorEastAsia" w:cstheme="minorEastAsia"/>
          <w:color w:val="000000" w:themeColor="text1"/>
          <w:sz w:val="18"/>
          <w:szCs w:val="18"/>
          <w:lang w:val="en-US" w:eastAsia="zh-CN"/>
          <w14:textFill>
            <w14:solidFill>
              <w14:schemeClr w14:val="tx1"/>
            </w14:solidFill>
          </w14:textFill>
        </w:rPr>
        <w:t>注：本表反映部门本年度财政拨款“三公”经费支出预决算情况。其中，预算数为“三公”经费全年预算数，反映按规定程序经人大批复（调整）后的预算数；决算数是包括当年财政拨款和以前年度结转资金安排的实际支出。本表金额转换为万元时，因四舍五入可能存在尾差。</w:t>
      </w:r>
    </w:p>
    <w:p>
      <w:pPr>
        <w:keepNext w:val="0"/>
        <w:keepLines w:val="0"/>
        <w:pageBreakBefore w:val="0"/>
        <w:widowControl/>
        <w:kinsoku/>
        <w:wordWrap w:val="0"/>
        <w:overflowPunct/>
        <w:topLinePunct w:val="0"/>
        <w:autoSpaceDE/>
        <w:autoSpaceDN/>
        <w:bidi w:val="0"/>
        <w:jc w:val="left"/>
        <w:rPr>
          <w:rFonts w:hint="eastAsia" w:ascii="黑体" w:hAnsi="宋体" w:eastAsia="黑体" w:cs="宋体"/>
          <w:color w:val="000000" w:themeColor="text1"/>
          <w:kern w:val="0"/>
          <w:sz w:val="28"/>
          <w:szCs w:val="28"/>
          <w:lang w:val="en-US" w:eastAsia="zh-CN"/>
          <w14:textFill>
            <w14:solidFill>
              <w14:schemeClr w14:val="tx1"/>
            </w14:solidFill>
          </w14:textFill>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color w:val="000000" w:themeColor="text1"/>
          <w:sz w:val="48"/>
          <w:szCs w:val="48"/>
          <w:lang w:val="en-US" w:eastAsia="zh-CN"/>
          <w14:textFill>
            <w14:solidFill>
              <w14:schemeClr w14:val="tx1"/>
            </w14:solidFill>
          </w14:textFill>
        </w:rPr>
      </w:pPr>
      <w:r>
        <w:rPr>
          <w:rFonts w:hint="eastAsia" w:ascii="黑体" w:hAnsi="黑体" w:eastAsia="黑体" w:cs="黑体"/>
          <w:color w:val="000000" w:themeColor="text1"/>
          <w:sz w:val="48"/>
          <w:szCs w:val="48"/>
          <w:lang w:val="en-US" w:eastAsia="zh-CN"/>
          <w14:textFill>
            <w14:solidFill>
              <w14:schemeClr w14:val="tx1"/>
            </w14:solidFill>
          </w14:textFill>
        </w:rPr>
        <w:t>第三部分2024年度部门决算情况说明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color w:val="000000" w:themeColor="text1"/>
          <w:sz w:val="48"/>
          <w:szCs w:val="48"/>
          <w:lang w:val="en-US" w:eastAsia="zh-CN"/>
          <w14:textFill>
            <w14:solidFill>
              <w14:schemeClr w14:val="tx1"/>
            </w14:solidFill>
          </w14:textFill>
        </w:r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color w:val="000000" w:themeColor="text1"/>
          <w:sz w:val="32"/>
          <w:szCs w:val="32"/>
          <w:lang w:val="en-US" w:eastAsia="zh-CN"/>
          <w14:textFill>
            <w14:solidFill>
              <w14:schemeClr w14:val="tx1"/>
            </w14:solidFill>
          </w14:textFill>
        </w:rPr>
      </w:pPr>
      <w:bookmarkStart w:id="0" w:name="_GoBack"/>
      <w:bookmarkEnd w:id="0"/>
      <w:r>
        <w:rPr>
          <w:rFonts w:hint="eastAsia" w:ascii="黑体" w:hAnsi="黑体" w:eastAsia="黑体" w:cs="黑体"/>
          <w:color w:val="000000" w:themeColor="text1"/>
          <w:kern w:val="0"/>
          <w:sz w:val="32"/>
          <w:szCs w:val="32"/>
          <w:lang w:val="en-US" w:eastAsia="zh-CN"/>
          <w14:textFill>
            <w14:solidFill>
              <w14:schemeClr w14:val="tx1"/>
            </w14:solidFill>
          </w14:textFill>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themeColor="text1"/>
          <w:kern w:val="2"/>
          <w:sz w:val="32"/>
          <w:szCs w:val="32"/>
          <w:highlight w:val="none"/>
          <w:lang w:val="en-US" w:eastAsia="zh-CN" w:bidi="ar-SA"/>
          <w14:textFill>
            <w14:solidFill>
              <w14:schemeClr w14:val="tx1"/>
            </w14:solidFill>
          </w14:textFill>
        </w:rPr>
      </w:pPr>
      <w:r>
        <w:rPr>
          <w:rFonts w:hint="eastAsia" w:ascii="仿宋_GB2312" w:eastAsia="仿宋_GB2312"/>
          <w:color w:val="000000" w:themeColor="text1"/>
          <w:sz w:val="32"/>
          <w:szCs w:val="32"/>
          <w:lang w:val="en-US" w:eastAsia="zh-CN"/>
          <w14:textFill>
            <w14:solidFill>
              <w14:schemeClr w14:val="tx1"/>
            </w14:solidFill>
          </w14:textFill>
        </w:rPr>
        <w:t>2024</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年度收、支总计均为</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2501.75</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万元。</w:t>
      </w:r>
      <w:r>
        <w:rPr>
          <w:rFonts w:hint="eastAsia" w:ascii="仿宋" w:hAnsi="仿宋" w:eastAsia="仿宋" w:cs="仿宋"/>
          <w:snapToGrid/>
          <w:color w:val="000000" w:themeColor="text1"/>
          <w:kern w:val="2"/>
          <w:sz w:val="32"/>
          <w:szCs w:val="32"/>
          <w:highlight w:val="none"/>
          <w:lang w:val="en-US" w:eastAsia="zh-CN" w:bidi="ar-SA"/>
          <w14:textFill>
            <w14:solidFill>
              <w14:schemeClr w14:val="tx1"/>
            </w14:solidFill>
          </w14:textFill>
        </w:rPr>
        <w:t>与上年度相比，收、支总计各增加251.45万元，增长11.17%，主要原因是：本年我单位业务活动增加，收支增加。</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color w:val="000000" w:themeColor="text1"/>
          <w:sz w:val="32"/>
          <w:szCs w:val="32"/>
          <w:lang w:val="en-US" w:eastAsia="zh-CN"/>
          <w14:textFill>
            <w14:solidFill>
              <w14:schemeClr w14:val="tx1"/>
            </w14:solidFill>
          </w14:textFill>
        </w:rPr>
      </w:pPr>
      <w:r>
        <w:rPr>
          <w:rFonts w:hint="eastAsia" w:ascii="黑体" w:hAnsi="黑体" w:eastAsia="黑体" w:cs="黑体"/>
          <w:color w:val="000000" w:themeColor="text1"/>
          <w:kern w:val="0"/>
          <w:sz w:val="32"/>
          <w:szCs w:val="32"/>
          <w:lang w:val="en-US" w:eastAsia="zh-CN"/>
          <w14:textFill>
            <w14:solidFill>
              <w14:schemeClr w14:val="tx1"/>
            </w14:solidFill>
          </w14:textFill>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color w:val="000000" w:themeColor="text1"/>
          <w:sz w:val="32"/>
          <w:szCs w:val="32"/>
          <w:lang w:val="en-US" w:eastAsia="zh-CN"/>
          <w14:textFill>
            <w14:solidFill>
              <w14:schemeClr w14:val="tx1"/>
            </w14:solidFill>
          </w14:textFill>
        </w:rPr>
      </w:pPr>
      <w:r>
        <w:rPr>
          <w:rFonts w:ascii="仿宋_GB2312" w:eastAsia="仿宋_GB2312"/>
          <w:color w:val="000000" w:themeColor="text1"/>
          <w:sz w:val="32"/>
          <w:szCs w:val="32"/>
          <w:lang w:val="en-US" w:eastAsia="zh-CN"/>
          <w14:textFill>
            <w14:solidFill>
              <w14:schemeClr w14:val="tx1"/>
            </w14:solidFill>
          </w14:textFill>
        </w:rPr>
        <w:t>2024</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年度收入合计</w:t>
      </w:r>
      <w:r>
        <w:rPr>
          <w:rFonts w:hint="eastAsia" w:ascii="仿宋_GB2312" w:hAnsi="Times New Roman" w:eastAsia="仿宋_GB2312"/>
          <w:color w:val="000000" w:themeColor="text1"/>
          <w:sz w:val="32"/>
          <w:szCs w:val="32"/>
          <w:lang w:val="en-US" w:eastAsia="zh-CN"/>
          <w14:textFill>
            <w14:solidFill>
              <w14:schemeClr w14:val="tx1"/>
            </w14:solidFill>
          </w14:textFill>
        </w:rPr>
        <w:t>2501.75</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万元，其中：财政拨款收入2501.75万元，占100.00%。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color w:val="000000" w:themeColor="text1"/>
          <w:sz w:val="32"/>
          <w:szCs w:val="32"/>
          <w:lang w:val="en-US" w:eastAsia="zh-CN"/>
          <w14:textFill>
            <w14:solidFill>
              <w14:schemeClr w14:val="tx1"/>
            </w14:solidFill>
          </w14:textFill>
        </w:rPr>
      </w:pPr>
      <w:r>
        <w:rPr>
          <w:rFonts w:hint="eastAsia" w:ascii="黑体" w:hAnsi="黑体" w:eastAsia="黑体" w:cs="黑体"/>
          <w:color w:val="000000" w:themeColor="text1"/>
          <w:kern w:val="0"/>
          <w:sz w:val="32"/>
          <w:szCs w:val="32"/>
          <w:lang w:val="en-US" w:eastAsia="zh-CN"/>
          <w14:textFill>
            <w14:solidFill>
              <w14:schemeClr w14:val="tx1"/>
            </w14:solidFill>
          </w14:textFill>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ascii="仿宋_GB2312" w:eastAsia="仿宋_GB2312"/>
          <w:color w:val="000000" w:themeColor="text1"/>
          <w:sz w:val="32"/>
          <w:szCs w:val="32"/>
          <w:lang w:val="en-US" w:eastAsia="zh-CN"/>
          <w14:textFill>
            <w14:solidFill>
              <w14:schemeClr w14:val="tx1"/>
            </w14:solidFill>
          </w14:textFill>
        </w:rPr>
        <w:t>2024</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年度支出合计</w:t>
      </w:r>
      <w:r>
        <w:rPr>
          <w:rFonts w:hint="eastAsia" w:ascii="仿宋_GB2312" w:hAnsi="Times New Roman" w:eastAsia="仿宋_GB2312"/>
          <w:color w:val="000000" w:themeColor="text1"/>
          <w:sz w:val="32"/>
          <w:szCs w:val="32"/>
          <w:lang w:val="en-US" w:eastAsia="zh-CN"/>
          <w14:textFill>
            <w14:solidFill>
              <w14:schemeClr w14:val="tx1"/>
            </w14:solidFill>
          </w14:textFill>
        </w:rPr>
        <w:t>2501.75</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万元，其中：基本支出1477.63万元，占59.06%;项目支出1024.12万元，占40.94%。</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color w:val="000000" w:themeColor="text1"/>
          <w:sz w:val="32"/>
          <w:szCs w:val="32"/>
          <w:lang w:val="en-US" w:eastAsia="zh-CN"/>
          <w14:textFill>
            <w14:solidFill>
              <w14:schemeClr w14:val="tx1"/>
            </w14:solidFill>
          </w14:textFill>
        </w:rPr>
      </w:pPr>
      <w:r>
        <w:rPr>
          <w:rFonts w:hint="eastAsia" w:ascii="黑体" w:hAnsi="黑体" w:eastAsia="黑体" w:cs="黑体"/>
          <w:color w:val="000000" w:themeColor="text1"/>
          <w:kern w:val="0"/>
          <w:sz w:val="32"/>
          <w:szCs w:val="32"/>
          <w:lang w:val="en-US" w:eastAsia="zh-CN"/>
          <w14:textFill>
            <w14:solidFill>
              <w14:schemeClr w14:val="tx1"/>
            </w14:solidFill>
          </w14:textFill>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ascii="仿宋_GB2312" w:eastAsia="仿宋_GB2312"/>
          <w:color w:val="000000" w:themeColor="text1"/>
          <w:sz w:val="32"/>
          <w:szCs w:val="32"/>
          <w:lang w:val="en-US" w:eastAsia="zh-CN"/>
          <w14:textFill>
            <w14:solidFill>
              <w14:schemeClr w14:val="tx1"/>
            </w14:solidFill>
          </w14:textFill>
        </w:rPr>
        <w:t>2024</w:t>
      </w:r>
      <w:r>
        <w:rPr>
          <w:rFonts w:hint="eastAsia" w:ascii="仿宋_GB2312" w:eastAsia="仿宋_GB2312"/>
          <w:color w:val="000000" w:themeColor="text1"/>
          <w:sz w:val="32"/>
          <w:szCs w:val="32"/>
          <w:lang w:val="en-US" w:eastAsia="zh-CN"/>
          <w14:textFill>
            <w14:solidFill>
              <w14:schemeClr w14:val="tx1"/>
            </w14:solidFill>
          </w14:textFill>
        </w:rPr>
        <w:t>年度财政拨款收、支总计均为</w:t>
      </w:r>
      <w:r>
        <w:rPr>
          <w:rFonts w:hint="eastAsia" w:ascii="仿宋" w:hAnsi="仿宋" w:eastAsia="仿宋"/>
          <w:color w:val="000000" w:themeColor="text1"/>
          <w:sz w:val="32"/>
          <w:szCs w:val="32"/>
          <w:lang w:val="en-US" w:eastAsia="zh-CN"/>
          <w14:textFill>
            <w14:solidFill>
              <w14:schemeClr w14:val="tx1"/>
            </w14:solidFill>
          </w14:textFill>
        </w:rPr>
        <w:t>2501.75</w:t>
      </w:r>
      <w:r>
        <w:rPr>
          <w:rFonts w:hint="eastAsia" w:ascii="仿宋_GB2312" w:eastAsia="仿宋_GB2312"/>
          <w:color w:val="000000" w:themeColor="text1"/>
          <w:sz w:val="32"/>
          <w:szCs w:val="32"/>
          <w:lang w:val="en-US" w:eastAsia="zh-CN"/>
          <w14:textFill>
            <w14:solidFill>
              <w14:schemeClr w14:val="tx1"/>
            </w14:solidFill>
          </w14:textFill>
        </w:rPr>
        <w:t>万元。</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与上年度相比，财政拨款收、支总计各增加251.45万元，增长11.17%，主要原因是：本年我单位业务活动增加，收支增加。</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color w:val="000000" w:themeColor="text1"/>
          <w:sz w:val="32"/>
          <w:szCs w:val="32"/>
          <w:lang w:val="en-US" w:eastAsia="zh-CN"/>
          <w14:textFill>
            <w14:solidFill>
              <w14:schemeClr w14:val="tx1"/>
            </w14:solidFill>
          </w14:textFill>
        </w:rPr>
      </w:pPr>
      <w:r>
        <w:rPr>
          <w:rFonts w:hint="eastAsia" w:ascii="黑体" w:hAnsi="黑体" w:eastAsia="黑体" w:cs="黑体"/>
          <w:color w:val="000000" w:themeColor="text1"/>
          <w:kern w:val="0"/>
          <w:sz w:val="32"/>
          <w:szCs w:val="32"/>
          <w:lang w:val="en-US" w:eastAsia="zh-CN"/>
          <w14:textFill>
            <w14:solidFill>
              <w14:schemeClr w14:val="tx1"/>
            </w14:solidFill>
          </w14:textFill>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color w:val="000000" w:themeColor="text1"/>
          <w:sz w:val="32"/>
          <w:szCs w:val="32"/>
          <w:lang w:val="en-US" w:eastAsia="zh-CN"/>
          <w14:textFill>
            <w14:solidFill>
              <w14:schemeClr w14:val="tx1"/>
            </w14:solidFill>
          </w14:textFill>
        </w:rPr>
      </w:pPr>
      <w:r>
        <w:rPr>
          <w:rFonts w:hint="eastAsia" w:ascii="楷体_GB2312" w:hAnsi="楷体_GB2312" w:eastAsia="楷体_GB2312" w:cs="楷体_GB2312"/>
          <w:b/>
          <w:bCs/>
          <w:color w:val="000000" w:themeColor="text1"/>
          <w:sz w:val="32"/>
          <w:szCs w:val="32"/>
          <w:lang w:val="en-US" w:eastAsia="zh-CN"/>
          <w14:textFill>
            <w14:solidFill>
              <w14:schemeClr w14:val="tx1"/>
            </w14:solidFill>
          </w14:textFill>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2024年度一般公共预算财政拨款支出2501.75万元，占支出合计的100.00%。与上年度相比，一般公共预算财政拨款支出增加251.45万元，增长11.17%，主要原因是：本年我单位业务活动增加，收支增加。</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color w:val="000000" w:themeColor="text1"/>
          <w:sz w:val="32"/>
          <w:szCs w:val="32"/>
          <w:lang w:val="en-US" w:eastAsia="zh-CN"/>
          <w14:textFill>
            <w14:solidFill>
              <w14:schemeClr w14:val="tx1"/>
            </w14:solidFill>
          </w14:textFill>
        </w:rPr>
      </w:pPr>
      <w:r>
        <w:rPr>
          <w:rFonts w:hint="eastAsia" w:ascii="楷体_GB2312" w:hAnsi="楷体_GB2312" w:eastAsia="楷体_GB2312" w:cs="楷体_GB2312"/>
          <w:b/>
          <w:bCs/>
          <w:color w:val="000000" w:themeColor="text1"/>
          <w:sz w:val="32"/>
          <w:szCs w:val="32"/>
          <w:lang w:val="en-US" w:eastAsia="zh-CN"/>
          <w14:textFill>
            <w14:solidFill>
              <w14:schemeClr w14:val="tx1"/>
            </w14:solidFill>
          </w14:textFill>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ascii="仿宋_GB2312" w:eastAsia="仿宋_GB2312"/>
          <w:color w:val="000000" w:themeColor="text1"/>
          <w:sz w:val="32"/>
          <w:szCs w:val="32"/>
          <w:lang w:val="en-US" w:eastAsia="zh-CN"/>
          <w14:textFill>
            <w14:solidFill>
              <w14:schemeClr w14:val="tx1"/>
            </w14:solidFill>
          </w14:textFill>
        </w:rPr>
        <w:t>2024</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年度一般公共预算财政拨款支出2501.75万元，主要用于以下方面：一般公共服务（类）支出2206.17万元，占88.18%;社会保障和就业（类）支出146.66万元，占5.86%;卫生健康（类）支出71.72万元，占2.87%;住房保障（类）支出77.20万元，占3.09%。</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color w:val="000000" w:themeColor="text1"/>
          <w:sz w:val="32"/>
          <w:szCs w:val="32"/>
          <w:lang w:val="en-US" w:eastAsia="zh-CN"/>
          <w14:textFill>
            <w14:solidFill>
              <w14:schemeClr w14:val="tx1"/>
            </w14:solidFill>
          </w14:textFill>
        </w:rPr>
      </w:pPr>
      <w:r>
        <w:rPr>
          <w:rFonts w:hint="eastAsia" w:ascii="楷体_GB2312" w:hAnsi="楷体_GB2312" w:eastAsia="楷体_GB2312" w:cs="楷体_GB2312"/>
          <w:b/>
          <w:bCs/>
          <w:color w:val="000000" w:themeColor="text1"/>
          <w:sz w:val="32"/>
          <w:szCs w:val="32"/>
          <w:lang w:val="en-US" w:eastAsia="zh-CN"/>
          <w14:textFill>
            <w14:solidFill>
              <w14:schemeClr w14:val="tx1"/>
            </w14:solidFill>
          </w14:textFill>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ascii="仿宋_GB2312" w:eastAsia="仿宋_GB2312"/>
          <w:color w:val="000000" w:themeColor="text1"/>
          <w:sz w:val="32"/>
          <w:szCs w:val="32"/>
          <w:lang w:val="en-US" w:eastAsia="zh-CN"/>
          <w14:textFill>
            <w14:solidFill>
              <w14:schemeClr w14:val="tx1"/>
            </w14:solidFill>
          </w14:textFill>
        </w:rPr>
        <w:t>2024</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年度一般公共预算财政拨款支出年初预算为</w:t>
      </w:r>
      <w:r>
        <w:rPr>
          <w:rFonts w:hint="eastAsia" w:ascii="仿宋_GB2312" w:hAnsi="Times New Roman" w:eastAsia="仿宋_GB2312"/>
          <w:color w:val="000000" w:themeColor="text1"/>
          <w:sz w:val="32"/>
          <w:szCs w:val="32"/>
          <w:highlight w:val="none"/>
          <w:lang w:val="en-US" w:eastAsia="zh-CN"/>
          <w14:textFill>
            <w14:solidFill>
              <w14:schemeClr w14:val="tx1"/>
            </w14:solidFill>
          </w14:textFill>
        </w:rPr>
        <w:t>2074.60</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万元，支出决算为</w:t>
      </w:r>
      <w:r>
        <w:rPr>
          <w:rFonts w:hint="eastAsia" w:ascii="仿宋_GB2312" w:hAnsi="Times New Roman" w:eastAsia="仿宋_GB2312"/>
          <w:color w:val="000000" w:themeColor="text1"/>
          <w:sz w:val="32"/>
          <w:szCs w:val="32"/>
          <w:highlight w:val="none"/>
          <w:lang w:val="en-US" w:eastAsia="zh-CN"/>
          <w14:textFill>
            <w14:solidFill>
              <w14:schemeClr w14:val="tx1"/>
            </w14:solidFill>
          </w14:textFill>
        </w:rPr>
        <w:t>2501.75</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万元，完成年初预算的</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120.59</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%。其中：</w:t>
      </w:r>
    </w:p>
    <w:p>
      <w:pPr>
        <w:keepNext w:val="0"/>
        <w:keepLines w:val="0"/>
        <w:pageBreakBefore w:val="0"/>
        <w:widowControl/>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_GB2312"/>
          <w:color w:val="000000" w:themeColor="text1"/>
          <w:sz w:val="32"/>
          <w:szCs w:val="32"/>
          <w:lang w:val="en-US" w:eastAsia="zh-CN"/>
          <w14:textFill>
            <w14:solidFill>
              <w14:schemeClr w14:val="tx1"/>
            </w14:solidFill>
          </w14:textFill>
        </w:rPr>
      </w:pPr>
      <w:r>
        <w:rPr>
          <w:rFonts w:hint="eastAsia" w:ascii="仿宋" w:hAnsi="仿宋" w:eastAsia="仿宋" w:cs="仿宋_GB2312"/>
          <w:color w:val="000000" w:themeColor="text1"/>
          <w:sz w:val="32"/>
          <w:szCs w:val="32"/>
          <w:lang w:val="en-US" w:eastAsia="zh-CN"/>
          <w14:textFill>
            <w14:solidFill>
              <w14:schemeClr w14:val="tx1"/>
            </w14:solidFill>
          </w14:textFill>
        </w:rPr>
        <w:t>1.</w:t>
      </w:r>
      <w:r>
        <w:rPr>
          <w:rFonts w:ascii="仿宋" w:hAnsi="仿宋" w:eastAsia="仿宋" w:cs="仿宋_GB2312"/>
          <w:b/>
          <w:bCs w:val="0"/>
          <w:i w:val="0"/>
          <w:iCs w:val="0"/>
          <w:caps w:val="0"/>
          <w:strike w:val="0"/>
          <w:dstrike w:val="0"/>
          <w:emboss w:val="0"/>
          <w:imprint w:val="0"/>
          <w:vanish w:val="0"/>
          <w:color w:val="000000" w:themeColor="text1"/>
          <w:spacing w:val="0"/>
          <w:w w:val="100"/>
          <w:position w:val="0"/>
          <w:sz w:val="32"/>
          <w:szCs w:val="32"/>
          <w:highlight w:val="none"/>
          <w:u w:val="none"/>
          <w:shd w:val="clear" w:color="auto" w:fill="auto"/>
          <w:vertAlign w:val="baseline"/>
          <w:rtl w:val="0"/>
          <w:lang w:val="en-US" w:eastAsia="zh-CN"/>
          <w14:textFill>
            <w14:solidFill>
              <w14:schemeClr w14:val="tx1"/>
            </w14:solidFill>
          </w14:textFill>
        </w:rPr>
        <w:t>一般公共服务支出（类）纪检监察事务（款）行政运行（项）</w:t>
      </w:r>
      <w:r>
        <w:rPr>
          <w:rFonts w:hint="eastAsia" w:ascii="仿宋" w:hAnsi="仿宋" w:eastAsia="仿宋" w:cs="仿宋_GB2312"/>
          <w:color w:val="000000" w:themeColor="text1"/>
          <w:sz w:val="32"/>
          <w:szCs w:val="32"/>
          <w:lang w:val="en-US" w:eastAsia="zh-CN"/>
          <w14:textFill>
            <w14:solidFill>
              <w14:schemeClr w14:val="tx1"/>
            </w14:solidFill>
          </w14:textFill>
        </w:rPr>
        <w:t>。年初预算为</w:t>
      </w:r>
      <w:r>
        <w:rPr>
          <w:rFonts w:ascii="仿宋" w:hAnsi="仿宋" w:eastAsia="仿宋" w:cs="仿宋_GB2312"/>
          <w:b w:val="0"/>
          <w:bCs w:val="0"/>
          <w:i w:val="0"/>
          <w:iCs w:val="0"/>
          <w:caps w:val="0"/>
          <w:strike w:val="0"/>
          <w:dstrike w:val="0"/>
          <w:emboss w:val="0"/>
          <w:imprint w:val="0"/>
          <w:vanish w:val="0"/>
          <w:color w:val="000000" w:themeColor="text1"/>
          <w:spacing w:val="0"/>
          <w:w w:val="100"/>
          <w:position w:val="0"/>
          <w:sz w:val="32"/>
          <w:szCs w:val="32"/>
          <w:highlight w:val="none"/>
          <w:u w:val="none"/>
          <w:shd w:val="clear" w:color="auto" w:fill="auto"/>
          <w:vertAlign w:val="baseline"/>
          <w:rtl w:val="0"/>
          <w:lang w:val="en-US" w:eastAsia="zh-CN"/>
          <w14:textFill>
            <w14:solidFill>
              <w14:schemeClr w14:val="tx1"/>
            </w14:solidFill>
          </w14:textFill>
        </w:rPr>
        <w:t>972.26</w:t>
      </w:r>
      <w:r>
        <w:rPr>
          <w:rFonts w:hint="eastAsia" w:ascii="仿宋" w:hAnsi="仿宋" w:eastAsia="仿宋" w:cs="仿宋_GB2312"/>
          <w:color w:val="000000" w:themeColor="text1"/>
          <w:sz w:val="32"/>
          <w:szCs w:val="32"/>
          <w:lang w:val="en-US" w:eastAsia="zh-CN"/>
          <w14:textFill>
            <w14:solidFill>
              <w14:schemeClr w14:val="tx1"/>
            </w14:solidFill>
          </w14:textFill>
        </w:rPr>
        <w:t>万元，支出决算为</w:t>
      </w:r>
      <w:r>
        <w:rPr>
          <w:rFonts w:ascii="仿宋" w:hAnsi="仿宋" w:eastAsia="仿宋" w:cs="仿宋_GB2312"/>
          <w:b w:val="0"/>
          <w:bCs w:val="0"/>
          <w:i w:val="0"/>
          <w:iCs w:val="0"/>
          <w:caps w:val="0"/>
          <w:strike w:val="0"/>
          <w:dstrike w:val="0"/>
          <w:emboss w:val="0"/>
          <w:imprint w:val="0"/>
          <w:vanish w:val="0"/>
          <w:color w:val="000000" w:themeColor="text1"/>
          <w:spacing w:val="0"/>
          <w:w w:val="100"/>
          <w:position w:val="0"/>
          <w:sz w:val="32"/>
          <w:szCs w:val="32"/>
          <w:highlight w:val="none"/>
          <w:u w:val="none"/>
          <w:shd w:val="clear" w:color="auto" w:fill="auto"/>
          <w:vertAlign w:val="baseline"/>
          <w:rtl w:val="0"/>
          <w:lang w:val="en-US" w:eastAsia="zh-CN"/>
          <w14:textFill>
            <w14:solidFill>
              <w14:schemeClr w14:val="tx1"/>
            </w14:solidFill>
          </w14:textFill>
        </w:rPr>
        <w:t>979.52</w:t>
      </w:r>
      <w:r>
        <w:rPr>
          <w:rFonts w:hint="eastAsia" w:ascii="仿宋" w:hAnsi="仿宋" w:eastAsia="仿宋" w:cs="仿宋_GB2312"/>
          <w:color w:val="000000" w:themeColor="text1"/>
          <w:sz w:val="32"/>
          <w:szCs w:val="32"/>
          <w:lang w:val="en-US" w:eastAsia="zh-CN"/>
          <w14:textFill>
            <w14:solidFill>
              <w14:schemeClr w14:val="tx1"/>
            </w14:solidFill>
          </w14:textFill>
        </w:rPr>
        <w:t>万元</w:t>
      </w:r>
      <w:r>
        <w:rPr>
          <w:rFonts w:ascii="仿宋" w:hAnsi="仿宋" w:eastAsia="仿宋" w:cs="仿宋_GB2312"/>
          <w:b w:val="0"/>
          <w:bCs w:val="0"/>
          <w:i w:val="0"/>
          <w:iCs w:val="0"/>
          <w:caps w:val="0"/>
          <w:strike w:val="0"/>
          <w:dstrike w:val="0"/>
          <w:emboss w:val="0"/>
          <w:imprint w:val="0"/>
          <w:vanish w:val="0"/>
          <w:color w:val="000000" w:themeColor="text1"/>
          <w:spacing w:val="0"/>
          <w:w w:val="100"/>
          <w:position w:val="0"/>
          <w:sz w:val="32"/>
          <w:szCs w:val="32"/>
          <w:highlight w:val="none"/>
          <w:u w:val="none"/>
          <w:shd w:val="clear" w:color="auto" w:fill="auto"/>
          <w:vertAlign w:val="baseline"/>
          <w:rtl w:val="0"/>
          <w:lang w:val="en-US" w:eastAsia="zh-CN"/>
          <w14:textFill>
            <w14:solidFill>
              <w14:schemeClr w14:val="tx1"/>
            </w14:solidFill>
          </w14:textFill>
        </w:rPr>
        <w:t>，完成年初预算的100.75%</w:t>
      </w:r>
      <w:r>
        <w:rPr>
          <w:rFonts w:hint="eastAsia" w:ascii="仿宋" w:hAnsi="仿宋" w:eastAsia="仿宋" w:cs="仿宋_GB2312"/>
          <w:color w:val="000000" w:themeColor="text1"/>
          <w:sz w:val="32"/>
          <w:szCs w:val="32"/>
          <w:lang w:val="en-US" w:eastAsia="zh-CN"/>
          <w14:textFill>
            <w14:solidFill>
              <w14:schemeClr w14:val="tx1"/>
            </w14:solidFill>
          </w14:textFill>
        </w:rPr>
        <w:t>。决算数与年初预算数</w:t>
      </w:r>
      <w:r>
        <w:rPr>
          <w:rFonts w:ascii="仿宋" w:hAnsi="仿宋" w:eastAsia="仿宋" w:cs="仿宋_GB2312"/>
          <w:b w:val="0"/>
          <w:bCs w:val="0"/>
          <w:i w:val="0"/>
          <w:iCs w:val="0"/>
          <w:caps w:val="0"/>
          <w:strike w:val="0"/>
          <w:dstrike w:val="0"/>
          <w:emboss w:val="0"/>
          <w:imprint w:val="0"/>
          <w:vanish w:val="0"/>
          <w:color w:val="000000" w:themeColor="text1"/>
          <w:spacing w:val="0"/>
          <w:w w:val="100"/>
          <w:position w:val="0"/>
          <w:sz w:val="32"/>
          <w:szCs w:val="32"/>
          <w:highlight w:val="none"/>
          <w:u w:val="none"/>
          <w:shd w:val="clear" w:color="auto" w:fill="auto"/>
          <w:vertAlign w:val="baseline"/>
          <w:rtl w:val="0"/>
          <w:lang w:val="en-US" w:eastAsia="zh-CN"/>
          <w14:textFill>
            <w14:solidFill>
              <w14:schemeClr w14:val="tx1"/>
            </w14:solidFill>
          </w14:textFill>
        </w:rPr>
        <w:t>存在差异的主要原因是</w:t>
      </w:r>
      <w:r>
        <w:rPr>
          <w:rFonts w:hint="eastAsia" w:ascii="仿宋" w:hAnsi="仿宋" w:eastAsia="仿宋" w:cs="仿宋_GB2312"/>
          <w:color w:val="000000" w:themeColor="text1"/>
          <w:sz w:val="32"/>
          <w:szCs w:val="32"/>
          <w:rtl w:val="0"/>
          <w:lang w:val="en-US" w:eastAsia="zh-CN"/>
          <w14:textFill>
            <w14:solidFill>
              <w14:schemeClr w14:val="tx1"/>
            </w14:solidFill>
          </w14:textFill>
        </w:rPr>
        <w:t>：</w:t>
      </w:r>
      <w:r>
        <w:rPr>
          <w:rFonts w:hint="eastAsia" w:ascii="仿宋" w:hAnsi="仿宋" w:eastAsia="仿宋" w:cs="仿宋_GB2312"/>
          <w:color w:val="000000" w:themeColor="text1"/>
          <w:sz w:val="32"/>
          <w:szCs w:val="32"/>
          <w:lang w:val="en-US" w:eastAsia="zh-CN"/>
          <w14:textFill>
            <w14:solidFill>
              <w14:schemeClr w14:val="tx1"/>
            </w14:solidFill>
          </w14:textFill>
        </w:rPr>
        <w:t>根据年中工作开展情况，调整类款项。</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_GB2312"/>
          <w:color w:val="000000" w:themeColor="text1"/>
          <w:sz w:val="32"/>
          <w:szCs w:val="32"/>
          <w:lang w:val="en-US" w:eastAsia="zh-CN"/>
          <w14:textFill>
            <w14:solidFill>
              <w14:schemeClr w14:val="tx1"/>
            </w14:solidFill>
          </w14:textFill>
        </w:rPr>
      </w:pPr>
      <w:r>
        <w:rPr>
          <w:rFonts w:hint="eastAsia" w:ascii="仿宋" w:hAnsi="仿宋" w:eastAsia="仿宋" w:cs="仿宋_GB2312"/>
          <w:color w:val="000000" w:themeColor="text1"/>
          <w:sz w:val="32"/>
          <w:szCs w:val="32"/>
          <w:lang w:val="en-US" w:eastAsia="zh-CN"/>
          <w14:textFill>
            <w14:solidFill>
              <w14:schemeClr w14:val="tx1"/>
            </w14:solidFill>
          </w14:textFill>
        </w:rPr>
        <w:t>2.</w:t>
      </w:r>
      <w:r>
        <w:rPr>
          <w:rFonts w:ascii="仿宋" w:hAnsi="仿宋" w:eastAsia="仿宋" w:cs="仿宋_GB2312"/>
          <w:b/>
          <w:bCs w:val="0"/>
          <w:i w:val="0"/>
          <w:iCs w:val="0"/>
          <w:caps w:val="0"/>
          <w:strike w:val="0"/>
          <w:dstrike w:val="0"/>
          <w:emboss w:val="0"/>
          <w:imprint w:val="0"/>
          <w:vanish w:val="0"/>
          <w:color w:val="000000" w:themeColor="text1"/>
          <w:spacing w:val="0"/>
          <w:w w:val="100"/>
          <w:position w:val="0"/>
          <w:sz w:val="32"/>
          <w:szCs w:val="32"/>
          <w:highlight w:val="none"/>
          <w:u w:val="none"/>
          <w:shd w:val="clear" w:color="auto" w:fill="auto"/>
          <w:vertAlign w:val="baseline"/>
          <w:rtl w:val="0"/>
          <w:lang w:val="en-US" w:eastAsia="zh-CN"/>
          <w14:textFill>
            <w14:solidFill>
              <w14:schemeClr w14:val="tx1"/>
            </w14:solidFill>
          </w14:textFill>
        </w:rPr>
        <w:t>一般公共服务支出（类）纪检监察事务（款）一般行政管理事务（项）</w:t>
      </w:r>
      <w:r>
        <w:rPr>
          <w:rFonts w:hint="eastAsia" w:ascii="仿宋" w:hAnsi="仿宋" w:eastAsia="仿宋" w:cs="仿宋_GB2312"/>
          <w:color w:val="000000" w:themeColor="text1"/>
          <w:sz w:val="32"/>
          <w:szCs w:val="32"/>
          <w:lang w:val="en-US" w:eastAsia="zh-CN"/>
          <w14:textFill>
            <w14:solidFill>
              <w14:schemeClr w14:val="tx1"/>
            </w14:solidFill>
          </w14:textFill>
        </w:rPr>
        <w:t>。年初预算为</w:t>
      </w:r>
      <w:r>
        <w:rPr>
          <w:rFonts w:ascii="仿宋" w:hAnsi="仿宋" w:eastAsia="仿宋" w:cs="仿宋_GB2312"/>
          <w:b w:val="0"/>
          <w:bCs w:val="0"/>
          <w:i w:val="0"/>
          <w:iCs w:val="0"/>
          <w:caps w:val="0"/>
          <w:strike w:val="0"/>
          <w:dstrike w:val="0"/>
          <w:emboss w:val="0"/>
          <w:imprint w:val="0"/>
          <w:vanish w:val="0"/>
          <w:color w:val="000000" w:themeColor="text1"/>
          <w:spacing w:val="0"/>
          <w:w w:val="100"/>
          <w:position w:val="0"/>
          <w:sz w:val="32"/>
          <w:szCs w:val="32"/>
          <w:highlight w:val="none"/>
          <w:u w:val="none"/>
          <w:shd w:val="clear" w:color="auto" w:fill="auto"/>
          <w:vertAlign w:val="baseline"/>
          <w:rtl w:val="0"/>
          <w:lang w:val="en-US" w:eastAsia="zh-CN"/>
          <w14:textFill>
            <w14:solidFill>
              <w14:schemeClr w14:val="tx1"/>
            </w14:solidFill>
          </w14:textFill>
        </w:rPr>
        <w:t>616.86</w:t>
      </w:r>
      <w:r>
        <w:rPr>
          <w:rFonts w:hint="eastAsia" w:ascii="仿宋" w:hAnsi="仿宋" w:eastAsia="仿宋" w:cs="仿宋_GB2312"/>
          <w:color w:val="000000" w:themeColor="text1"/>
          <w:sz w:val="32"/>
          <w:szCs w:val="32"/>
          <w:lang w:val="en-US" w:eastAsia="zh-CN"/>
          <w14:textFill>
            <w14:solidFill>
              <w14:schemeClr w14:val="tx1"/>
            </w14:solidFill>
          </w14:textFill>
        </w:rPr>
        <w:t>万元，支出决算为</w:t>
      </w:r>
      <w:r>
        <w:rPr>
          <w:rFonts w:ascii="仿宋" w:hAnsi="仿宋" w:eastAsia="仿宋" w:cs="仿宋_GB2312"/>
          <w:b w:val="0"/>
          <w:bCs w:val="0"/>
          <w:i w:val="0"/>
          <w:iCs w:val="0"/>
          <w:caps w:val="0"/>
          <w:strike w:val="0"/>
          <w:dstrike w:val="0"/>
          <w:emboss w:val="0"/>
          <w:imprint w:val="0"/>
          <w:vanish w:val="0"/>
          <w:color w:val="000000" w:themeColor="text1"/>
          <w:spacing w:val="0"/>
          <w:w w:val="100"/>
          <w:position w:val="0"/>
          <w:sz w:val="32"/>
          <w:szCs w:val="32"/>
          <w:highlight w:val="none"/>
          <w:u w:val="none"/>
          <w:shd w:val="clear" w:color="auto" w:fill="auto"/>
          <w:vertAlign w:val="baseline"/>
          <w:rtl w:val="0"/>
          <w:lang w:val="en-US" w:eastAsia="zh-CN"/>
          <w14:textFill>
            <w14:solidFill>
              <w14:schemeClr w14:val="tx1"/>
            </w14:solidFill>
          </w14:textFill>
        </w:rPr>
        <w:t>801.72</w:t>
      </w:r>
      <w:r>
        <w:rPr>
          <w:rFonts w:hint="eastAsia" w:ascii="仿宋" w:hAnsi="仿宋" w:eastAsia="仿宋" w:cs="仿宋_GB2312"/>
          <w:color w:val="000000" w:themeColor="text1"/>
          <w:sz w:val="32"/>
          <w:szCs w:val="32"/>
          <w:lang w:val="en-US" w:eastAsia="zh-CN"/>
          <w14:textFill>
            <w14:solidFill>
              <w14:schemeClr w14:val="tx1"/>
            </w14:solidFill>
          </w14:textFill>
        </w:rPr>
        <w:t>万元</w:t>
      </w:r>
      <w:r>
        <w:rPr>
          <w:rFonts w:ascii="仿宋" w:hAnsi="仿宋" w:eastAsia="仿宋" w:cs="仿宋_GB2312"/>
          <w:b w:val="0"/>
          <w:bCs w:val="0"/>
          <w:i w:val="0"/>
          <w:iCs w:val="0"/>
          <w:caps w:val="0"/>
          <w:strike w:val="0"/>
          <w:dstrike w:val="0"/>
          <w:emboss w:val="0"/>
          <w:imprint w:val="0"/>
          <w:vanish w:val="0"/>
          <w:color w:val="000000" w:themeColor="text1"/>
          <w:spacing w:val="0"/>
          <w:w w:val="100"/>
          <w:position w:val="0"/>
          <w:sz w:val="32"/>
          <w:szCs w:val="32"/>
          <w:highlight w:val="none"/>
          <w:u w:val="none"/>
          <w:shd w:val="clear" w:color="auto" w:fill="auto"/>
          <w:vertAlign w:val="baseline"/>
          <w:rtl w:val="0"/>
          <w:lang w:val="en-US" w:eastAsia="zh-CN"/>
          <w14:textFill>
            <w14:solidFill>
              <w14:schemeClr w14:val="tx1"/>
            </w14:solidFill>
          </w14:textFill>
        </w:rPr>
        <w:t>，完成年初预算的129.97%</w:t>
      </w:r>
      <w:r>
        <w:rPr>
          <w:rFonts w:hint="eastAsia" w:ascii="仿宋" w:hAnsi="仿宋" w:eastAsia="仿宋" w:cs="仿宋_GB2312"/>
          <w:color w:val="000000" w:themeColor="text1"/>
          <w:sz w:val="32"/>
          <w:szCs w:val="32"/>
          <w:lang w:val="en-US" w:eastAsia="zh-CN"/>
          <w14:textFill>
            <w14:solidFill>
              <w14:schemeClr w14:val="tx1"/>
            </w14:solidFill>
          </w14:textFill>
        </w:rPr>
        <w:t>。决算数与年初预算数</w:t>
      </w:r>
      <w:r>
        <w:rPr>
          <w:rFonts w:ascii="仿宋" w:hAnsi="仿宋" w:eastAsia="仿宋" w:cs="仿宋_GB2312"/>
          <w:b w:val="0"/>
          <w:bCs w:val="0"/>
          <w:i w:val="0"/>
          <w:iCs w:val="0"/>
          <w:caps w:val="0"/>
          <w:strike w:val="0"/>
          <w:dstrike w:val="0"/>
          <w:emboss w:val="0"/>
          <w:imprint w:val="0"/>
          <w:vanish w:val="0"/>
          <w:color w:val="000000" w:themeColor="text1"/>
          <w:spacing w:val="0"/>
          <w:w w:val="100"/>
          <w:position w:val="0"/>
          <w:sz w:val="32"/>
          <w:szCs w:val="32"/>
          <w:highlight w:val="none"/>
          <w:u w:val="none"/>
          <w:shd w:val="clear" w:color="auto" w:fill="auto"/>
          <w:vertAlign w:val="baseline"/>
          <w:rtl w:val="0"/>
          <w:lang w:val="en-US" w:eastAsia="zh-CN"/>
          <w14:textFill>
            <w14:solidFill>
              <w14:schemeClr w14:val="tx1"/>
            </w14:solidFill>
          </w14:textFill>
        </w:rPr>
        <w:t>存在差异的主要原因</w:t>
      </w:r>
      <w:r>
        <w:rPr>
          <w:rFonts w:hint="eastAsia" w:ascii="仿宋" w:hAnsi="仿宋" w:eastAsia="仿宋" w:cs="仿宋_GB2312"/>
          <w:color w:val="000000" w:themeColor="text1"/>
          <w:sz w:val="32"/>
          <w:szCs w:val="32"/>
          <w:rtl w:val="0"/>
          <w:lang w:val="en-US" w:eastAsia="zh-CN"/>
          <w14:textFill>
            <w14:solidFill>
              <w14:schemeClr w14:val="tx1"/>
            </w14:solidFill>
          </w14:textFill>
        </w:rPr>
        <w:t>是：</w:t>
      </w:r>
      <w:r>
        <w:rPr>
          <w:rFonts w:hint="eastAsia" w:ascii="仿宋" w:hAnsi="仿宋" w:eastAsia="仿宋" w:cs="仿宋_GB2312"/>
          <w:color w:val="000000" w:themeColor="text1"/>
          <w:sz w:val="32"/>
          <w:szCs w:val="32"/>
          <w:lang w:val="en-US" w:eastAsia="zh-CN"/>
          <w14:textFill>
            <w14:solidFill>
              <w14:schemeClr w14:val="tx1"/>
            </w14:solidFill>
          </w14:textFill>
        </w:rPr>
        <w:t>根据年中工作开展情况，调整类款项。</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_GB2312"/>
          <w:color w:val="000000" w:themeColor="text1"/>
          <w:sz w:val="32"/>
          <w:szCs w:val="32"/>
          <w:lang w:val="en-US" w:eastAsia="zh-CN"/>
          <w14:textFill>
            <w14:solidFill>
              <w14:schemeClr w14:val="tx1"/>
            </w14:solidFill>
          </w14:textFill>
        </w:rPr>
      </w:pPr>
      <w:r>
        <w:rPr>
          <w:rFonts w:hint="eastAsia" w:ascii="仿宋" w:hAnsi="仿宋" w:eastAsia="仿宋" w:cs="仿宋_GB2312"/>
          <w:color w:val="000000" w:themeColor="text1"/>
          <w:sz w:val="32"/>
          <w:szCs w:val="32"/>
          <w:lang w:val="en-US" w:eastAsia="zh-CN"/>
          <w14:textFill>
            <w14:solidFill>
              <w14:schemeClr w14:val="tx1"/>
            </w14:solidFill>
          </w14:textFill>
        </w:rPr>
        <w:t>3.</w:t>
      </w:r>
      <w:r>
        <w:rPr>
          <w:rFonts w:ascii="仿宋" w:hAnsi="仿宋" w:eastAsia="仿宋" w:cs="仿宋_GB2312"/>
          <w:b/>
          <w:bCs w:val="0"/>
          <w:i w:val="0"/>
          <w:iCs w:val="0"/>
          <w:caps w:val="0"/>
          <w:strike w:val="0"/>
          <w:dstrike w:val="0"/>
          <w:emboss w:val="0"/>
          <w:imprint w:val="0"/>
          <w:vanish w:val="0"/>
          <w:color w:val="000000" w:themeColor="text1"/>
          <w:spacing w:val="0"/>
          <w:w w:val="100"/>
          <w:position w:val="0"/>
          <w:sz w:val="32"/>
          <w:szCs w:val="32"/>
          <w:highlight w:val="none"/>
          <w:u w:val="none"/>
          <w:shd w:val="clear" w:color="auto" w:fill="auto"/>
          <w:vertAlign w:val="baseline"/>
          <w:rtl w:val="0"/>
          <w:lang w:val="en-US" w:eastAsia="zh-CN"/>
          <w14:textFill>
            <w14:solidFill>
              <w14:schemeClr w14:val="tx1"/>
            </w14:solidFill>
          </w14:textFill>
        </w:rPr>
        <w:t>一般公共服务支出（类）纪检监察事务（款）大案要案查处（项）</w:t>
      </w:r>
      <w:r>
        <w:rPr>
          <w:rFonts w:hint="eastAsia" w:ascii="仿宋" w:hAnsi="仿宋" w:eastAsia="仿宋" w:cs="仿宋_GB2312"/>
          <w:color w:val="000000" w:themeColor="text1"/>
          <w:sz w:val="32"/>
          <w:szCs w:val="32"/>
          <w:lang w:val="en-US" w:eastAsia="zh-CN"/>
          <w14:textFill>
            <w14:solidFill>
              <w14:schemeClr w14:val="tx1"/>
            </w14:solidFill>
          </w14:textFill>
        </w:rPr>
        <w:t>。年初预算为</w:t>
      </w:r>
      <w:r>
        <w:rPr>
          <w:rFonts w:ascii="仿宋" w:hAnsi="仿宋" w:eastAsia="仿宋" w:cs="仿宋_GB2312"/>
          <w:b w:val="0"/>
          <w:bCs w:val="0"/>
          <w:i w:val="0"/>
          <w:iCs w:val="0"/>
          <w:caps w:val="0"/>
          <w:strike w:val="0"/>
          <w:dstrike w:val="0"/>
          <w:emboss w:val="0"/>
          <w:imprint w:val="0"/>
          <w:vanish w:val="0"/>
          <w:color w:val="000000" w:themeColor="text1"/>
          <w:spacing w:val="0"/>
          <w:w w:val="100"/>
          <w:position w:val="0"/>
          <w:sz w:val="32"/>
          <w:szCs w:val="32"/>
          <w:highlight w:val="none"/>
          <w:u w:val="none"/>
          <w:shd w:val="clear" w:color="auto" w:fill="auto"/>
          <w:vertAlign w:val="baseline"/>
          <w:rtl w:val="0"/>
          <w:lang w:val="en-US" w:eastAsia="zh-CN"/>
          <w14:textFill>
            <w14:solidFill>
              <w14:schemeClr w14:val="tx1"/>
            </w14:solidFill>
          </w14:textFill>
        </w:rPr>
        <w:t>0.00</w:t>
      </w:r>
      <w:r>
        <w:rPr>
          <w:rFonts w:hint="eastAsia" w:ascii="仿宋" w:hAnsi="仿宋" w:eastAsia="仿宋" w:cs="仿宋_GB2312"/>
          <w:color w:val="000000" w:themeColor="text1"/>
          <w:sz w:val="32"/>
          <w:szCs w:val="32"/>
          <w:lang w:val="en-US" w:eastAsia="zh-CN"/>
          <w14:textFill>
            <w14:solidFill>
              <w14:schemeClr w14:val="tx1"/>
            </w14:solidFill>
          </w14:textFill>
        </w:rPr>
        <w:t>万元，支出决算为</w:t>
      </w:r>
      <w:r>
        <w:rPr>
          <w:rFonts w:ascii="仿宋" w:hAnsi="仿宋" w:eastAsia="仿宋" w:cs="仿宋_GB2312"/>
          <w:b w:val="0"/>
          <w:bCs w:val="0"/>
          <w:i w:val="0"/>
          <w:iCs w:val="0"/>
          <w:caps w:val="0"/>
          <w:strike w:val="0"/>
          <w:dstrike w:val="0"/>
          <w:emboss w:val="0"/>
          <w:imprint w:val="0"/>
          <w:vanish w:val="0"/>
          <w:color w:val="000000" w:themeColor="text1"/>
          <w:spacing w:val="0"/>
          <w:w w:val="100"/>
          <w:position w:val="0"/>
          <w:sz w:val="32"/>
          <w:szCs w:val="32"/>
          <w:highlight w:val="none"/>
          <w:u w:val="none"/>
          <w:shd w:val="clear" w:color="auto" w:fill="auto"/>
          <w:vertAlign w:val="baseline"/>
          <w:rtl w:val="0"/>
          <w:lang w:val="en-US" w:eastAsia="zh-CN"/>
          <w14:textFill>
            <w14:solidFill>
              <w14:schemeClr w14:val="tx1"/>
            </w14:solidFill>
          </w14:textFill>
        </w:rPr>
        <w:t>222.41</w:t>
      </w:r>
      <w:r>
        <w:rPr>
          <w:rFonts w:hint="eastAsia" w:ascii="仿宋" w:hAnsi="仿宋" w:eastAsia="仿宋" w:cs="仿宋_GB2312"/>
          <w:color w:val="000000" w:themeColor="text1"/>
          <w:sz w:val="32"/>
          <w:szCs w:val="32"/>
          <w:lang w:val="en-US" w:eastAsia="zh-CN"/>
          <w14:textFill>
            <w14:solidFill>
              <w14:schemeClr w14:val="tx1"/>
            </w14:solidFill>
          </w14:textFill>
        </w:rPr>
        <w:t>万元。决算数与年初预算数</w:t>
      </w:r>
      <w:r>
        <w:rPr>
          <w:rFonts w:ascii="仿宋" w:hAnsi="仿宋" w:eastAsia="仿宋" w:cs="仿宋_GB2312"/>
          <w:b w:val="0"/>
          <w:bCs w:val="0"/>
          <w:i w:val="0"/>
          <w:iCs w:val="0"/>
          <w:caps w:val="0"/>
          <w:strike w:val="0"/>
          <w:dstrike w:val="0"/>
          <w:emboss w:val="0"/>
          <w:imprint w:val="0"/>
          <w:vanish w:val="0"/>
          <w:color w:val="000000" w:themeColor="text1"/>
          <w:spacing w:val="0"/>
          <w:w w:val="100"/>
          <w:position w:val="0"/>
          <w:sz w:val="32"/>
          <w:szCs w:val="32"/>
          <w:highlight w:val="none"/>
          <w:u w:val="none"/>
          <w:shd w:val="clear" w:color="auto" w:fill="auto"/>
          <w:vertAlign w:val="baseline"/>
          <w:rtl w:val="0"/>
          <w:lang w:val="en-US" w:eastAsia="zh-CN"/>
          <w14:textFill>
            <w14:solidFill>
              <w14:schemeClr w14:val="tx1"/>
            </w14:solidFill>
          </w14:textFill>
        </w:rPr>
        <w:t>存在差异的主要原因</w:t>
      </w:r>
      <w:r>
        <w:rPr>
          <w:rFonts w:hint="eastAsia" w:ascii="仿宋" w:hAnsi="仿宋" w:eastAsia="仿宋" w:cs="仿宋_GB2312"/>
          <w:color w:val="000000" w:themeColor="text1"/>
          <w:sz w:val="32"/>
          <w:szCs w:val="32"/>
          <w:rtl w:val="0"/>
          <w:lang w:val="en-US" w:eastAsia="zh-CN"/>
          <w14:textFill>
            <w14:solidFill>
              <w14:schemeClr w14:val="tx1"/>
            </w14:solidFill>
          </w14:textFill>
        </w:rPr>
        <w:t>是：</w:t>
      </w:r>
      <w:r>
        <w:rPr>
          <w:rFonts w:hint="eastAsia" w:ascii="仿宋" w:hAnsi="仿宋" w:eastAsia="仿宋" w:cs="仿宋_GB2312"/>
          <w:color w:val="000000" w:themeColor="text1"/>
          <w:sz w:val="32"/>
          <w:szCs w:val="32"/>
          <w:lang w:val="en-US" w:eastAsia="zh-CN"/>
          <w14:textFill>
            <w14:solidFill>
              <w14:schemeClr w14:val="tx1"/>
            </w14:solidFill>
          </w14:textFill>
        </w:rPr>
        <w:t>该项根据当年的分配资金情况和项目情况进行申请，不在年初预算内。</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_GB2312"/>
          <w:color w:val="000000" w:themeColor="text1"/>
          <w:sz w:val="32"/>
          <w:szCs w:val="32"/>
          <w:lang w:val="en-US" w:eastAsia="zh-CN"/>
          <w14:textFill>
            <w14:solidFill>
              <w14:schemeClr w14:val="tx1"/>
            </w14:solidFill>
          </w14:textFill>
        </w:rPr>
      </w:pPr>
      <w:r>
        <w:rPr>
          <w:rFonts w:hint="eastAsia" w:ascii="仿宋" w:hAnsi="仿宋" w:eastAsia="仿宋" w:cs="仿宋_GB2312"/>
          <w:color w:val="000000" w:themeColor="text1"/>
          <w:sz w:val="32"/>
          <w:szCs w:val="32"/>
          <w:lang w:val="en-US" w:eastAsia="zh-CN"/>
          <w14:textFill>
            <w14:solidFill>
              <w14:schemeClr w14:val="tx1"/>
            </w14:solidFill>
          </w14:textFill>
        </w:rPr>
        <w:t>4.</w:t>
      </w:r>
      <w:r>
        <w:rPr>
          <w:rFonts w:ascii="仿宋" w:hAnsi="仿宋" w:eastAsia="仿宋" w:cs="仿宋_GB2312"/>
          <w:b/>
          <w:bCs w:val="0"/>
          <w:i w:val="0"/>
          <w:iCs w:val="0"/>
          <w:caps w:val="0"/>
          <w:strike w:val="0"/>
          <w:dstrike w:val="0"/>
          <w:emboss w:val="0"/>
          <w:imprint w:val="0"/>
          <w:vanish w:val="0"/>
          <w:color w:val="000000" w:themeColor="text1"/>
          <w:spacing w:val="0"/>
          <w:w w:val="100"/>
          <w:position w:val="0"/>
          <w:sz w:val="32"/>
          <w:szCs w:val="32"/>
          <w:highlight w:val="none"/>
          <w:u w:val="none"/>
          <w:shd w:val="clear" w:color="auto" w:fill="auto"/>
          <w:vertAlign w:val="baseline"/>
          <w:rtl w:val="0"/>
          <w:lang w:val="en-US" w:eastAsia="zh-CN"/>
          <w14:textFill>
            <w14:solidFill>
              <w14:schemeClr w14:val="tx1"/>
            </w14:solidFill>
          </w14:textFill>
        </w:rPr>
        <w:t>一般公共服务支出（类）纪检监察事务（款）事业运行（项）</w:t>
      </w:r>
      <w:r>
        <w:rPr>
          <w:rFonts w:hint="eastAsia" w:ascii="仿宋" w:hAnsi="仿宋" w:eastAsia="仿宋" w:cs="仿宋_GB2312"/>
          <w:color w:val="000000" w:themeColor="text1"/>
          <w:sz w:val="32"/>
          <w:szCs w:val="32"/>
          <w:lang w:val="en-US" w:eastAsia="zh-CN"/>
          <w14:textFill>
            <w14:solidFill>
              <w14:schemeClr w14:val="tx1"/>
            </w14:solidFill>
          </w14:textFill>
        </w:rPr>
        <w:t>。年初预算为</w:t>
      </w:r>
      <w:r>
        <w:rPr>
          <w:rFonts w:ascii="仿宋" w:hAnsi="仿宋" w:eastAsia="仿宋" w:cs="仿宋_GB2312"/>
          <w:b w:val="0"/>
          <w:bCs w:val="0"/>
          <w:i w:val="0"/>
          <w:iCs w:val="0"/>
          <w:caps w:val="0"/>
          <w:strike w:val="0"/>
          <w:dstrike w:val="0"/>
          <w:emboss w:val="0"/>
          <w:imprint w:val="0"/>
          <w:vanish w:val="0"/>
          <w:color w:val="000000" w:themeColor="text1"/>
          <w:spacing w:val="0"/>
          <w:w w:val="100"/>
          <w:position w:val="0"/>
          <w:sz w:val="32"/>
          <w:szCs w:val="32"/>
          <w:highlight w:val="none"/>
          <w:u w:val="none"/>
          <w:shd w:val="clear" w:color="auto" w:fill="auto"/>
          <w:vertAlign w:val="baseline"/>
          <w:rtl w:val="0"/>
          <w:lang w:val="en-US" w:eastAsia="zh-CN"/>
          <w14:textFill>
            <w14:solidFill>
              <w14:schemeClr w14:val="tx1"/>
            </w14:solidFill>
          </w14:textFill>
        </w:rPr>
        <w:t>180.14</w:t>
      </w:r>
      <w:r>
        <w:rPr>
          <w:rFonts w:hint="eastAsia" w:ascii="仿宋" w:hAnsi="仿宋" w:eastAsia="仿宋" w:cs="仿宋_GB2312"/>
          <w:color w:val="000000" w:themeColor="text1"/>
          <w:sz w:val="32"/>
          <w:szCs w:val="32"/>
          <w:lang w:val="en-US" w:eastAsia="zh-CN"/>
          <w14:textFill>
            <w14:solidFill>
              <w14:schemeClr w14:val="tx1"/>
            </w14:solidFill>
          </w14:textFill>
        </w:rPr>
        <w:t>万元，支出决算为</w:t>
      </w:r>
      <w:r>
        <w:rPr>
          <w:rFonts w:ascii="仿宋" w:hAnsi="仿宋" w:eastAsia="仿宋" w:cs="仿宋_GB2312"/>
          <w:b w:val="0"/>
          <w:bCs w:val="0"/>
          <w:i w:val="0"/>
          <w:iCs w:val="0"/>
          <w:caps w:val="0"/>
          <w:strike w:val="0"/>
          <w:dstrike w:val="0"/>
          <w:emboss w:val="0"/>
          <w:imprint w:val="0"/>
          <w:vanish w:val="0"/>
          <w:color w:val="000000" w:themeColor="text1"/>
          <w:spacing w:val="0"/>
          <w:w w:val="100"/>
          <w:position w:val="0"/>
          <w:sz w:val="32"/>
          <w:szCs w:val="32"/>
          <w:highlight w:val="none"/>
          <w:u w:val="none"/>
          <w:shd w:val="clear" w:color="auto" w:fill="auto"/>
          <w:vertAlign w:val="baseline"/>
          <w:rtl w:val="0"/>
          <w:lang w:val="en-US" w:eastAsia="zh-CN"/>
          <w14:textFill>
            <w14:solidFill>
              <w14:schemeClr w14:val="tx1"/>
            </w14:solidFill>
          </w14:textFill>
        </w:rPr>
        <w:t>173.52</w:t>
      </w:r>
      <w:r>
        <w:rPr>
          <w:rFonts w:hint="eastAsia" w:ascii="仿宋" w:hAnsi="仿宋" w:eastAsia="仿宋" w:cs="仿宋_GB2312"/>
          <w:color w:val="000000" w:themeColor="text1"/>
          <w:sz w:val="32"/>
          <w:szCs w:val="32"/>
          <w:lang w:val="en-US" w:eastAsia="zh-CN"/>
          <w14:textFill>
            <w14:solidFill>
              <w14:schemeClr w14:val="tx1"/>
            </w14:solidFill>
          </w14:textFill>
        </w:rPr>
        <w:t>万元</w:t>
      </w:r>
      <w:r>
        <w:rPr>
          <w:rFonts w:ascii="仿宋" w:hAnsi="仿宋" w:eastAsia="仿宋" w:cs="仿宋_GB2312"/>
          <w:b w:val="0"/>
          <w:bCs w:val="0"/>
          <w:i w:val="0"/>
          <w:iCs w:val="0"/>
          <w:caps w:val="0"/>
          <w:strike w:val="0"/>
          <w:dstrike w:val="0"/>
          <w:emboss w:val="0"/>
          <w:imprint w:val="0"/>
          <w:vanish w:val="0"/>
          <w:color w:val="000000" w:themeColor="text1"/>
          <w:spacing w:val="0"/>
          <w:w w:val="100"/>
          <w:position w:val="0"/>
          <w:sz w:val="32"/>
          <w:szCs w:val="32"/>
          <w:highlight w:val="none"/>
          <w:u w:val="none"/>
          <w:shd w:val="clear" w:color="auto" w:fill="auto"/>
          <w:vertAlign w:val="baseline"/>
          <w:rtl w:val="0"/>
          <w:lang w:val="en-US" w:eastAsia="zh-CN"/>
          <w14:textFill>
            <w14:solidFill>
              <w14:schemeClr w14:val="tx1"/>
            </w14:solidFill>
          </w14:textFill>
        </w:rPr>
        <w:t>，完成年初预算的96.33%</w:t>
      </w:r>
      <w:r>
        <w:rPr>
          <w:rFonts w:hint="eastAsia" w:ascii="仿宋" w:hAnsi="仿宋" w:eastAsia="仿宋" w:cs="仿宋_GB2312"/>
          <w:color w:val="000000" w:themeColor="text1"/>
          <w:sz w:val="32"/>
          <w:szCs w:val="32"/>
          <w:lang w:val="en-US" w:eastAsia="zh-CN"/>
          <w14:textFill>
            <w14:solidFill>
              <w14:schemeClr w14:val="tx1"/>
            </w14:solidFill>
          </w14:textFill>
        </w:rPr>
        <w:t>。决算数与年初预算数</w:t>
      </w:r>
      <w:r>
        <w:rPr>
          <w:rFonts w:ascii="仿宋" w:hAnsi="仿宋" w:eastAsia="仿宋" w:cs="仿宋_GB2312"/>
          <w:b w:val="0"/>
          <w:bCs w:val="0"/>
          <w:i w:val="0"/>
          <w:iCs w:val="0"/>
          <w:caps w:val="0"/>
          <w:strike w:val="0"/>
          <w:dstrike w:val="0"/>
          <w:emboss w:val="0"/>
          <w:imprint w:val="0"/>
          <w:vanish w:val="0"/>
          <w:color w:val="000000" w:themeColor="text1"/>
          <w:spacing w:val="0"/>
          <w:w w:val="100"/>
          <w:position w:val="0"/>
          <w:sz w:val="32"/>
          <w:szCs w:val="32"/>
          <w:highlight w:val="none"/>
          <w:u w:val="none"/>
          <w:shd w:val="clear" w:color="auto" w:fill="auto"/>
          <w:vertAlign w:val="baseline"/>
          <w:rtl w:val="0"/>
          <w:lang w:val="en-US" w:eastAsia="zh-CN"/>
          <w14:textFill>
            <w14:solidFill>
              <w14:schemeClr w14:val="tx1"/>
            </w14:solidFill>
          </w14:textFill>
        </w:rPr>
        <w:t>存在差异的主要原因是：</w:t>
      </w:r>
      <w:r>
        <w:rPr>
          <w:rFonts w:hint="eastAsia" w:ascii="仿宋" w:hAnsi="仿宋" w:eastAsia="仿宋" w:cs="仿宋_GB2312"/>
          <w:color w:val="000000" w:themeColor="text1"/>
          <w:sz w:val="32"/>
          <w:szCs w:val="32"/>
          <w:lang w:val="en-US" w:eastAsia="zh-CN"/>
          <w14:textFill>
            <w14:solidFill>
              <w14:schemeClr w14:val="tx1"/>
            </w14:solidFill>
          </w14:textFill>
        </w:rPr>
        <w:t>根据年中工作开展情况，调整类款项。</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_GB2312"/>
          <w:color w:val="000000" w:themeColor="text1"/>
          <w:sz w:val="32"/>
          <w:szCs w:val="32"/>
          <w:lang w:val="en-US" w:eastAsia="zh-CN"/>
          <w14:textFill>
            <w14:solidFill>
              <w14:schemeClr w14:val="tx1"/>
            </w14:solidFill>
          </w14:textFill>
        </w:rPr>
      </w:pPr>
      <w:r>
        <w:rPr>
          <w:rFonts w:hint="eastAsia" w:ascii="仿宋" w:hAnsi="仿宋" w:eastAsia="仿宋" w:cs="仿宋_GB2312"/>
          <w:color w:val="000000" w:themeColor="text1"/>
          <w:sz w:val="32"/>
          <w:szCs w:val="32"/>
          <w:lang w:val="en-US" w:eastAsia="zh-CN"/>
          <w14:textFill>
            <w14:solidFill>
              <w14:schemeClr w14:val="tx1"/>
            </w14:solidFill>
          </w14:textFill>
        </w:rPr>
        <w:t>5.</w:t>
      </w:r>
      <w:r>
        <w:rPr>
          <w:rFonts w:ascii="仿宋" w:hAnsi="仿宋" w:eastAsia="仿宋" w:cs="仿宋_GB2312"/>
          <w:b/>
          <w:bCs w:val="0"/>
          <w:i w:val="0"/>
          <w:iCs w:val="0"/>
          <w:caps w:val="0"/>
          <w:strike w:val="0"/>
          <w:dstrike w:val="0"/>
          <w:emboss w:val="0"/>
          <w:imprint w:val="0"/>
          <w:vanish w:val="0"/>
          <w:color w:val="000000" w:themeColor="text1"/>
          <w:spacing w:val="0"/>
          <w:w w:val="100"/>
          <w:position w:val="0"/>
          <w:sz w:val="32"/>
          <w:szCs w:val="32"/>
          <w:highlight w:val="none"/>
          <w:u w:val="none"/>
          <w:shd w:val="clear" w:color="auto" w:fill="auto"/>
          <w:vertAlign w:val="baseline"/>
          <w:rtl w:val="0"/>
          <w:lang w:val="en-US" w:eastAsia="zh-CN"/>
          <w14:textFill>
            <w14:solidFill>
              <w14:schemeClr w14:val="tx1"/>
            </w14:solidFill>
          </w14:textFill>
        </w:rPr>
        <w:t>一般公共服务支出（类）纪检监察事务（款）其他纪检监察事务支出（项）</w:t>
      </w:r>
      <w:r>
        <w:rPr>
          <w:rFonts w:hint="eastAsia" w:ascii="仿宋" w:hAnsi="仿宋" w:eastAsia="仿宋" w:cs="仿宋_GB2312"/>
          <w:color w:val="000000" w:themeColor="text1"/>
          <w:sz w:val="32"/>
          <w:szCs w:val="32"/>
          <w:lang w:val="en-US" w:eastAsia="zh-CN"/>
          <w14:textFill>
            <w14:solidFill>
              <w14:schemeClr w14:val="tx1"/>
            </w14:solidFill>
          </w14:textFill>
        </w:rPr>
        <w:t>。年初预算为</w:t>
      </w:r>
      <w:r>
        <w:rPr>
          <w:rFonts w:ascii="仿宋" w:hAnsi="仿宋" w:eastAsia="仿宋" w:cs="仿宋_GB2312"/>
          <w:b w:val="0"/>
          <w:bCs w:val="0"/>
          <w:i w:val="0"/>
          <w:iCs w:val="0"/>
          <w:caps w:val="0"/>
          <w:strike w:val="0"/>
          <w:dstrike w:val="0"/>
          <w:emboss w:val="0"/>
          <w:imprint w:val="0"/>
          <w:vanish w:val="0"/>
          <w:color w:val="000000" w:themeColor="text1"/>
          <w:spacing w:val="0"/>
          <w:w w:val="100"/>
          <w:position w:val="0"/>
          <w:sz w:val="32"/>
          <w:szCs w:val="32"/>
          <w:highlight w:val="none"/>
          <w:u w:val="none"/>
          <w:shd w:val="clear" w:color="auto" w:fill="auto"/>
          <w:vertAlign w:val="baseline"/>
          <w:rtl w:val="0"/>
          <w:lang w:val="en-US" w:eastAsia="zh-CN"/>
          <w14:textFill>
            <w14:solidFill>
              <w14:schemeClr w14:val="tx1"/>
            </w14:solidFill>
          </w14:textFill>
        </w:rPr>
        <w:t>0.00</w:t>
      </w:r>
      <w:r>
        <w:rPr>
          <w:rFonts w:hint="eastAsia" w:ascii="仿宋" w:hAnsi="仿宋" w:eastAsia="仿宋" w:cs="仿宋_GB2312"/>
          <w:color w:val="000000" w:themeColor="text1"/>
          <w:sz w:val="32"/>
          <w:szCs w:val="32"/>
          <w:lang w:val="en-US" w:eastAsia="zh-CN"/>
          <w14:textFill>
            <w14:solidFill>
              <w14:schemeClr w14:val="tx1"/>
            </w14:solidFill>
          </w14:textFill>
        </w:rPr>
        <w:t>万元，支出决算为</w:t>
      </w:r>
      <w:r>
        <w:rPr>
          <w:rFonts w:ascii="仿宋" w:hAnsi="仿宋" w:eastAsia="仿宋" w:cs="仿宋_GB2312"/>
          <w:b w:val="0"/>
          <w:bCs w:val="0"/>
          <w:i w:val="0"/>
          <w:iCs w:val="0"/>
          <w:caps w:val="0"/>
          <w:strike w:val="0"/>
          <w:dstrike w:val="0"/>
          <w:emboss w:val="0"/>
          <w:imprint w:val="0"/>
          <w:vanish w:val="0"/>
          <w:color w:val="000000" w:themeColor="text1"/>
          <w:spacing w:val="0"/>
          <w:w w:val="100"/>
          <w:position w:val="0"/>
          <w:sz w:val="32"/>
          <w:szCs w:val="32"/>
          <w:highlight w:val="none"/>
          <w:u w:val="none"/>
          <w:shd w:val="clear" w:color="auto" w:fill="auto"/>
          <w:vertAlign w:val="baseline"/>
          <w:rtl w:val="0"/>
          <w:lang w:val="en-US" w:eastAsia="zh-CN"/>
          <w14:textFill>
            <w14:solidFill>
              <w14:schemeClr w14:val="tx1"/>
            </w14:solidFill>
          </w14:textFill>
        </w:rPr>
        <w:t>29.00</w:t>
      </w:r>
      <w:r>
        <w:rPr>
          <w:rFonts w:hint="eastAsia" w:ascii="仿宋" w:hAnsi="仿宋" w:eastAsia="仿宋" w:cs="仿宋_GB2312"/>
          <w:color w:val="000000" w:themeColor="text1"/>
          <w:sz w:val="32"/>
          <w:szCs w:val="32"/>
          <w:lang w:val="en-US" w:eastAsia="zh-CN"/>
          <w14:textFill>
            <w14:solidFill>
              <w14:schemeClr w14:val="tx1"/>
            </w14:solidFill>
          </w14:textFill>
        </w:rPr>
        <w:t>万元。决算数与年初预算数</w:t>
      </w:r>
      <w:r>
        <w:rPr>
          <w:rFonts w:ascii="仿宋" w:hAnsi="仿宋" w:eastAsia="仿宋" w:cs="仿宋_GB2312"/>
          <w:b w:val="0"/>
          <w:bCs w:val="0"/>
          <w:i w:val="0"/>
          <w:iCs w:val="0"/>
          <w:caps w:val="0"/>
          <w:strike w:val="0"/>
          <w:dstrike w:val="0"/>
          <w:emboss w:val="0"/>
          <w:imprint w:val="0"/>
          <w:vanish w:val="0"/>
          <w:color w:val="000000" w:themeColor="text1"/>
          <w:spacing w:val="0"/>
          <w:w w:val="100"/>
          <w:position w:val="0"/>
          <w:sz w:val="32"/>
          <w:szCs w:val="32"/>
          <w:highlight w:val="none"/>
          <w:u w:val="none"/>
          <w:shd w:val="clear" w:color="auto" w:fill="auto"/>
          <w:vertAlign w:val="baseline"/>
          <w:rtl w:val="0"/>
          <w:lang w:val="en-US" w:eastAsia="zh-CN"/>
          <w14:textFill>
            <w14:solidFill>
              <w14:schemeClr w14:val="tx1"/>
            </w14:solidFill>
          </w14:textFill>
        </w:rPr>
        <w:t>存在差异的主要原因是：</w:t>
      </w:r>
      <w:r>
        <w:rPr>
          <w:rFonts w:hint="eastAsia" w:ascii="仿宋" w:hAnsi="仿宋" w:eastAsia="仿宋" w:cs="仿宋_GB2312"/>
          <w:color w:val="000000" w:themeColor="text1"/>
          <w:sz w:val="32"/>
          <w:szCs w:val="32"/>
          <w:lang w:val="en-US" w:eastAsia="zh-CN"/>
          <w14:textFill>
            <w14:solidFill>
              <w14:schemeClr w14:val="tx1"/>
            </w14:solidFill>
          </w14:textFill>
        </w:rPr>
        <w:t>该项根据当年的分配资金情况和项目情况进行申请，不在年初预算内。</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_GB2312"/>
          <w:color w:val="000000" w:themeColor="text1"/>
          <w:sz w:val="32"/>
          <w:szCs w:val="32"/>
          <w:lang w:val="en-US" w:eastAsia="zh-CN"/>
          <w14:textFill>
            <w14:solidFill>
              <w14:schemeClr w14:val="tx1"/>
            </w14:solidFill>
          </w14:textFill>
        </w:rPr>
      </w:pPr>
      <w:r>
        <w:rPr>
          <w:rFonts w:hint="eastAsia" w:ascii="仿宋" w:hAnsi="仿宋" w:eastAsia="仿宋" w:cs="仿宋_GB2312"/>
          <w:color w:val="000000" w:themeColor="text1"/>
          <w:sz w:val="32"/>
          <w:szCs w:val="32"/>
          <w:lang w:val="en-US" w:eastAsia="zh-CN"/>
          <w14:textFill>
            <w14:solidFill>
              <w14:schemeClr w14:val="tx1"/>
            </w14:solidFill>
          </w14:textFill>
        </w:rPr>
        <w:t>6.</w:t>
      </w:r>
      <w:r>
        <w:rPr>
          <w:rFonts w:ascii="仿宋" w:hAnsi="仿宋" w:eastAsia="仿宋" w:cs="仿宋_GB2312"/>
          <w:b/>
          <w:bCs w:val="0"/>
          <w:i w:val="0"/>
          <w:iCs w:val="0"/>
          <w:caps w:val="0"/>
          <w:strike w:val="0"/>
          <w:dstrike w:val="0"/>
          <w:emboss w:val="0"/>
          <w:imprint w:val="0"/>
          <w:vanish w:val="0"/>
          <w:color w:val="000000" w:themeColor="text1"/>
          <w:spacing w:val="0"/>
          <w:w w:val="100"/>
          <w:position w:val="0"/>
          <w:sz w:val="32"/>
          <w:szCs w:val="32"/>
          <w:highlight w:val="none"/>
          <w:u w:val="none"/>
          <w:shd w:val="clear" w:color="auto" w:fill="auto"/>
          <w:vertAlign w:val="baseline"/>
          <w:rtl w:val="0"/>
          <w:lang w:val="en-US" w:eastAsia="zh-CN"/>
          <w14:textFill>
            <w14:solidFill>
              <w14:schemeClr w14:val="tx1"/>
            </w14:solidFill>
          </w14:textFill>
        </w:rPr>
        <w:t>社会保障和就业支出（类）行政事业单位养老支出（款）机关事业单位基本养老保险缴费支出（项）</w:t>
      </w:r>
      <w:r>
        <w:rPr>
          <w:rFonts w:hint="eastAsia" w:ascii="仿宋" w:hAnsi="仿宋" w:eastAsia="仿宋" w:cs="仿宋_GB2312"/>
          <w:color w:val="000000" w:themeColor="text1"/>
          <w:sz w:val="32"/>
          <w:szCs w:val="32"/>
          <w:lang w:val="en-US" w:eastAsia="zh-CN"/>
          <w14:textFill>
            <w14:solidFill>
              <w14:schemeClr w14:val="tx1"/>
            </w14:solidFill>
          </w14:textFill>
        </w:rPr>
        <w:t>。年初预算为</w:t>
      </w:r>
      <w:r>
        <w:rPr>
          <w:rFonts w:ascii="仿宋" w:hAnsi="仿宋" w:eastAsia="仿宋" w:cs="仿宋_GB2312"/>
          <w:b w:val="0"/>
          <w:bCs w:val="0"/>
          <w:i w:val="0"/>
          <w:iCs w:val="0"/>
          <w:caps w:val="0"/>
          <w:strike w:val="0"/>
          <w:dstrike w:val="0"/>
          <w:emboss w:val="0"/>
          <w:imprint w:val="0"/>
          <w:vanish w:val="0"/>
          <w:color w:val="000000" w:themeColor="text1"/>
          <w:spacing w:val="0"/>
          <w:w w:val="100"/>
          <w:position w:val="0"/>
          <w:sz w:val="32"/>
          <w:szCs w:val="32"/>
          <w:highlight w:val="none"/>
          <w:u w:val="none"/>
          <w:shd w:val="clear" w:color="auto" w:fill="auto"/>
          <w:vertAlign w:val="baseline"/>
          <w:rtl w:val="0"/>
          <w:lang w:val="en-US" w:eastAsia="zh-CN"/>
          <w14:textFill>
            <w14:solidFill>
              <w14:schemeClr w14:val="tx1"/>
            </w14:solidFill>
          </w14:textFill>
        </w:rPr>
        <w:t>143.82</w:t>
      </w:r>
      <w:r>
        <w:rPr>
          <w:rFonts w:hint="eastAsia" w:ascii="仿宋" w:hAnsi="仿宋" w:eastAsia="仿宋" w:cs="仿宋_GB2312"/>
          <w:color w:val="000000" w:themeColor="text1"/>
          <w:sz w:val="32"/>
          <w:szCs w:val="32"/>
          <w:lang w:val="en-US" w:eastAsia="zh-CN"/>
          <w14:textFill>
            <w14:solidFill>
              <w14:schemeClr w14:val="tx1"/>
            </w14:solidFill>
          </w14:textFill>
        </w:rPr>
        <w:t>万元，支出决算为</w:t>
      </w:r>
      <w:r>
        <w:rPr>
          <w:rFonts w:ascii="仿宋" w:hAnsi="仿宋" w:eastAsia="仿宋" w:cs="仿宋_GB2312"/>
          <w:b w:val="0"/>
          <w:bCs w:val="0"/>
          <w:i w:val="0"/>
          <w:iCs w:val="0"/>
          <w:caps w:val="0"/>
          <w:strike w:val="0"/>
          <w:dstrike w:val="0"/>
          <w:emboss w:val="0"/>
          <w:imprint w:val="0"/>
          <w:vanish w:val="0"/>
          <w:color w:val="000000" w:themeColor="text1"/>
          <w:spacing w:val="0"/>
          <w:w w:val="100"/>
          <w:position w:val="0"/>
          <w:sz w:val="32"/>
          <w:szCs w:val="32"/>
          <w:highlight w:val="none"/>
          <w:u w:val="none"/>
          <w:shd w:val="clear" w:color="auto" w:fill="auto"/>
          <w:vertAlign w:val="baseline"/>
          <w:rtl w:val="0"/>
          <w:lang w:val="en-US" w:eastAsia="zh-CN"/>
          <w14:textFill>
            <w14:solidFill>
              <w14:schemeClr w14:val="tx1"/>
            </w14:solidFill>
          </w14:textFill>
        </w:rPr>
        <w:t>143.66</w:t>
      </w:r>
      <w:r>
        <w:rPr>
          <w:rFonts w:hint="eastAsia" w:ascii="仿宋" w:hAnsi="仿宋" w:eastAsia="仿宋" w:cs="仿宋_GB2312"/>
          <w:color w:val="000000" w:themeColor="text1"/>
          <w:sz w:val="32"/>
          <w:szCs w:val="32"/>
          <w:lang w:val="en-US" w:eastAsia="zh-CN"/>
          <w14:textFill>
            <w14:solidFill>
              <w14:schemeClr w14:val="tx1"/>
            </w14:solidFill>
          </w14:textFill>
        </w:rPr>
        <w:t>万元</w:t>
      </w:r>
      <w:r>
        <w:rPr>
          <w:rFonts w:ascii="仿宋" w:hAnsi="仿宋" w:eastAsia="仿宋" w:cs="仿宋_GB2312"/>
          <w:b w:val="0"/>
          <w:bCs w:val="0"/>
          <w:i w:val="0"/>
          <w:iCs w:val="0"/>
          <w:caps w:val="0"/>
          <w:strike w:val="0"/>
          <w:dstrike w:val="0"/>
          <w:emboss w:val="0"/>
          <w:imprint w:val="0"/>
          <w:vanish w:val="0"/>
          <w:color w:val="000000" w:themeColor="text1"/>
          <w:spacing w:val="0"/>
          <w:w w:val="100"/>
          <w:position w:val="0"/>
          <w:sz w:val="32"/>
          <w:szCs w:val="32"/>
          <w:highlight w:val="none"/>
          <w:u w:val="none"/>
          <w:shd w:val="clear" w:color="auto" w:fill="auto"/>
          <w:vertAlign w:val="baseline"/>
          <w:rtl w:val="0"/>
          <w:lang w:val="en-US" w:eastAsia="zh-CN"/>
          <w14:textFill>
            <w14:solidFill>
              <w14:schemeClr w14:val="tx1"/>
            </w14:solidFill>
          </w14:textFill>
        </w:rPr>
        <w:t>，完成年初预算的99.89%</w:t>
      </w:r>
      <w:r>
        <w:rPr>
          <w:rFonts w:hint="eastAsia" w:ascii="仿宋" w:hAnsi="仿宋" w:eastAsia="仿宋" w:cs="仿宋_GB2312"/>
          <w:color w:val="000000" w:themeColor="text1"/>
          <w:sz w:val="32"/>
          <w:szCs w:val="32"/>
          <w:lang w:val="en-US" w:eastAsia="zh-CN"/>
          <w14:textFill>
            <w14:solidFill>
              <w14:schemeClr w14:val="tx1"/>
            </w14:solidFill>
          </w14:textFill>
        </w:rPr>
        <w:t>。决算数与年初预算数</w:t>
      </w:r>
      <w:r>
        <w:rPr>
          <w:rFonts w:ascii="仿宋" w:hAnsi="仿宋" w:eastAsia="仿宋" w:cs="仿宋_GB2312"/>
          <w:b w:val="0"/>
          <w:bCs w:val="0"/>
          <w:i w:val="0"/>
          <w:iCs w:val="0"/>
          <w:caps w:val="0"/>
          <w:strike w:val="0"/>
          <w:dstrike w:val="0"/>
          <w:emboss w:val="0"/>
          <w:imprint w:val="0"/>
          <w:vanish w:val="0"/>
          <w:color w:val="000000" w:themeColor="text1"/>
          <w:spacing w:val="0"/>
          <w:w w:val="100"/>
          <w:position w:val="0"/>
          <w:sz w:val="32"/>
          <w:szCs w:val="32"/>
          <w:highlight w:val="none"/>
          <w:u w:val="none"/>
          <w:shd w:val="clear" w:color="auto" w:fill="auto"/>
          <w:vertAlign w:val="baseline"/>
          <w:rtl w:val="0"/>
          <w:lang w:val="en-US" w:eastAsia="zh-CN"/>
          <w14:textFill>
            <w14:solidFill>
              <w14:schemeClr w14:val="tx1"/>
            </w14:solidFill>
          </w14:textFill>
        </w:rPr>
        <w:t>存在差异的主要原因</w:t>
      </w:r>
      <w:r>
        <w:rPr>
          <w:rFonts w:hint="eastAsia" w:ascii="仿宋" w:hAnsi="仿宋" w:eastAsia="仿宋" w:cs="仿宋_GB2312"/>
          <w:color w:val="000000" w:themeColor="text1"/>
          <w:sz w:val="32"/>
          <w:szCs w:val="32"/>
          <w:rtl w:val="0"/>
          <w:lang w:val="en-US" w:eastAsia="zh-CN"/>
          <w14:textFill>
            <w14:solidFill>
              <w14:schemeClr w14:val="tx1"/>
            </w14:solidFill>
          </w14:textFill>
        </w:rPr>
        <w:t>是：</w:t>
      </w:r>
      <w:r>
        <w:rPr>
          <w:rFonts w:hint="eastAsia" w:ascii="仿宋" w:hAnsi="仿宋" w:eastAsia="仿宋" w:cs="仿宋_GB2312"/>
          <w:color w:val="000000" w:themeColor="text1"/>
          <w:sz w:val="32"/>
          <w:szCs w:val="32"/>
          <w:lang w:val="en-US" w:eastAsia="zh-CN"/>
          <w14:textFill>
            <w14:solidFill>
              <w14:schemeClr w14:val="tx1"/>
            </w14:solidFill>
          </w14:textFill>
        </w:rPr>
        <w:t>本年我单位该项资金未清算。</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_GB2312"/>
          <w:color w:val="000000" w:themeColor="text1"/>
          <w:sz w:val="32"/>
          <w:szCs w:val="32"/>
          <w:lang w:val="en-US" w:eastAsia="zh-CN"/>
          <w14:textFill>
            <w14:solidFill>
              <w14:schemeClr w14:val="tx1"/>
            </w14:solidFill>
          </w14:textFill>
        </w:rPr>
      </w:pPr>
      <w:r>
        <w:rPr>
          <w:rFonts w:hint="eastAsia" w:ascii="仿宋" w:hAnsi="仿宋" w:eastAsia="仿宋" w:cs="仿宋_GB2312"/>
          <w:color w:val="000000" w:themeColor="text1"/>
          <w:sz w:val="32"/>
          <w:szCs w:val="32"/>
          <w:lang w:val="en-US" w:eastAsia="zh-CN"/>
          <w14:textFill>
            <w14:solidFill>
              <w14:schemeClr w14:val="tx1"/>
            </w14:solidFill>
          </w14:textFill>
        </w:rPr>
        <w:t>7.</w:t>
      </w:r>
      <w:r>
        <w:rPr>
          <w:rFonts w:ascii="仿宋" w:hAnsi="仿宋" w:eastAsia="仿宋" w:cs="仿宋_GB2312"/>
          <w:b/>
          <w:bCs w:val="0"/>
          <w:i w:val="0"/>
          <w:iCs w:val="0"/>
          <w:caps w:val="0"/>
          <w:strike w:val="0"/>
          <w:dstrike w:val="0"/>
          <w:emboss w:val="0"/>
          <w:imprint w:val="0"/>
          <w:vanish w:val="0"/>
          <w:color w:val="000000" w:themeColor="text1"/>
          <w:spacing w:val="0"/>
          <w:w w:val="100"/>
          <w:position w:val="0"/>
          <w:sz w:val="32"/>
          <w:szCs w:val="32"/>
          <w:highlight w:val="none"/>
          <w:u w:val="none"/>
          <w:shd w:val="clear" w:color="auto" w:fill="auto"/>
          <w:vertAlign w:val="baseline"/>
          <w:rtl w:val="0"/>
          <w:lang w:val="en-US" w:eastAsia="zh-CN"/>
          <w14:textFill>
            <w14:solidFill>
              <w14:schemeClr w14:val="tx1"/>
            </w14:solidFill>
          </w14:textFill>
        </w:rPr>
        <w:t>社会保障和就业支出（类）其他社会保障和就业支出（款）其他社会保障和就业支出（项）</w:t>
      </w:r>
      <w:r>
        <w:rPr>
          <w:rFonts w:hint="eastAsia" w:ascii="仿宋" w:hAnsi="仿宋" w:eastAsia="仿宋" w:cs="仿宋_GB2312"/>
          <w:color w:val="000000" w:themeColor="text1"/>
          <w:sz w:val="32"/>
          <w:szCs w:val="32"/>
          <w:lang w:val="en-US" w:eastAsia="zh-CN"/>
          <w14:textFill>
            <w14:solidFill>
              <w14:schemeClr w14:val="tx1"/>
            </w14:solidFill>
          </w14:textFill>
        </w:rPr>
        <w:t>。年初预算为</w:t>
      </w:r>
      <w:r>
        <w:rPr>
          <w:rFonts w:ascii="仿宋" w:hAnsi="仿宋" w:eastAsia="仿宋" w:cs="仿宋_GB2312"/>
          <w:b w:val="0"/>
          <w:bCs w:val="0"/>
          <w:i w:val="0"/>
          <w:iCs w:val="0"/>
          <w:caps w:val="0"/>
          <w:strike w:val="0"/>
          <w:dstrike w:val="0"/>
          <w:emboss w:val="0"/>
          <w:imprint w:val="0"/>
          <w:vanish w:val="0"/>
          <w:color w:val="000000" w:themeColor="text1"/>
          <w:spacing w:val="0"/>
          <w:w w:val="100"/>
          <w:position w:val="0"/>
          <w:sz w:val="32"/>
          <w:szCs w:val="32"/>
          <w:highlight w:val="none"/>
          <w:u w:val="none"/>
          <w:shd w:val="clear" w:color="auto" w:fill="auto"/>
          <w:vertAlign w:val="baseline"/>
          <w:rtl w:val="0"/>
          <w:lang w:val="en-US" w:eastAsia="zh-CN"/>
          <w14:textFill>
            <w14:solidFill>
              <w14:schemeClr w14:val="tx1"/>
            </w14:solidFill>
          </w14:textFill>
        </w:rPr>
        <w:t>3.58</w:t>
      </w:r>
      <w:r>
        <w:rPr>
          <w:rFonts w:hint="eastAsia" w:ascii="仿宋" w:hAnsi="仿宋" w:eastAsia="仿宋" w:cs="仿宋_GB2312"/>
          <w:color w:val="000000" w:themeColor="text1"/>
          <w:sz w:val="32"/>
          <w:szCs w:val="32"/>
          <w:lang w:val="en-US" w:eastAsia="zh-CN"/>
          <w14:textFill>
            <w14:solidFill>
              <w14:schemeClr w14:val="tx1"/>
            </w14:solidFill>
          </w14:textFill>
        </w:rPr>
        <w:t>万元，支出决算为</w:t>
      </w:r>
      <w:r>
        <w:rPr>
          <w:rFonts w:ascii="仿宋" w:hAnsi="仿宋" w:eastAsia="仿宋" w:cs="仿宋_GB2312"/>
          <w:b w:val="0"/>
          <w:bCs w:val="0"/>
          <w:i w:val="0"/>
          <w:iCs w:val="0"/>
          <w:caps w:val="0"/>
          <w:strike w:val="0"/>
          <w:dstrike w:val="0"/>
          <w:emboss w:val="0"/>
          <w:imprint w:val="0"/>
          <w:vanish w:val="0"/>
          <w:color w:val="000000" w:themeColor="text1"/>
          <w:spacing w:val="0"/>
          <w:w w:val="100"/>
          <w:position w:val="0"/>
          <w:sz w:val="32"/>
          <w:szCs w:val="32"/>
          <w:highlight w:val="none"/>
          <w:u w:val="none"/>
          <w:shd w:val="clear" w:color="auto" w:fill="auto"/>
          <w:vertAlign w:val="baseline"/>
          <w:rtl w:val="0"/>
          <w:lang w:val="en-US" w:eastAsia="zh-CN"/>
          <w14:textFill>
            <w14:solidFill>
              <w14:schemeClr w14:val="tx1"/>
            </w14:solidFill>
          </w14:textFill>
        </w:rPr>
        <w:t>3.00</w:t>
      </w:r>
      <w:r>
        <w:rPr>
          <w:rFonts w:hint="eastAsia" w:ascii="仿宋" w:hAnsi="仿宋" w:eastAsia="仿宋" w:cs="仿宋_GB2312"/>
          <w:color w:val="000000" w:themeColor="text1"/>
          <w:sz w:val="32"/>
          <w:szCs w:val="32"/>
          <w:lang w:val="en-US" w:eastAsia="zh-CN"/>
          <w14:textFill>
            <w14:solidFill>
              <w14:schemeClr w14:val="tx1"/>
            </w14:solidFill>
          </w14:textFill>
        </w:rPr>
        <w:t>万元</w:t>
      </w:r>
      <w:r>
        <w:rPr>
          <w:rFonts w:ascii="仿宋" w:hAnsi="仿宋" w:eastAsia="仿宋" w:cs="仿宋_GB2312"/>
          <w:b w:val="0"/>
          <w:bCs w:val="0"/>
          <w:i w:val="0"/>
          <w:iCs w:val="0"/>
          <w:caps w:val="0"/>
          <w:strike w:val="0"/>
          <w:dstrike w:val="0"/>
          <w:emboss w:val="0"/>
          <w:imprint w:val="0"/>
          <w:vanish w:val="0"/>
          <w:color w:val="000000" w:themeColor="text1"/>
          <w:spacing w:val="0"/>
          <w:w w:val="100"/>
          <w:position w:val="0"/>
          <w:sz w:val="32"/>
          <w:szCs w:val="32"/>
          <w:highlight w:val="none"/>
          <w:u w:val="none"/>
          <w:shd w:val="clear" w:color="auto" w:fill="auto"/>
          <w:vertAlign w:val="baseline"/>
          <w:rtl w:val="0"/>
          <w:lang w:val="en-US" w:eastAsia="zh-CN"/>
          <w14:textFill>
            <w14:solidFill>
              <w14:schemeClr w14:val="tx1"/>
            </w14:solidFill>
          </w14:textFill>
        </w:rPr>
        <w:t>，完成年初预算的83.72%</w:t>
      </w:r>
      <w:r>
        <w:rPr>
          <w:rFonts w:hint="eastAsia" w:ascii="仿宋" w:hAnsi="仿宋" w:eastAsia="仿宋" w:cs="仿宋_GB2312"/>
          <w:color w:val="000000" w:themeColor="text1"/>
          <w:sz w:val="32"/>
          <w:szCs w:val="32"/>
          <w:lang w:val="en-US" w:eastAsia="zh-CN"/>
          <w14:textFill>
            <w14:solidFill>
              <w14:schemeClr w14:val="tx1"/>
            </w14:solidFill>
          </w14:textFill>
        </w:rPr>
        <w:t>。决算数与年初预算数</w:t>
      </w:r>
      <w:r>
        <w:rPr>
          <w:rFonts w:ascii="仿宋" w:hAnsi="仿宋" w:eastAsia="仿宋" w:cs="仿宋_GB2312"/>
          <w:b w:val="0"/>
          <w:bCs w:val="0"/>
          <w:i w:val="0"/>
          <w:iCs w:val="0"/>
          <w:caps w:val="0"/>
          <w:strike w:val="0"/>
          <w:dstrike w:val="0"/>
          <w:emboss w:val="0"/>
          <w:imprint w:val="0"/>
          <w:vanish w:val="0"/>
          <w:color w:val="000000" w:themeColor="text1"/>
          <w:spacing w:val="0"/>
          <w:w w:val="100"/>
          <w:position w:val="0"/>
          <w:sz w:val="32"/>
          <w:szCs w:val="32"/>
          <w:highlight w:val="none"/>
          <w:u w:val="none"/>
          <w:shd w:val="clear" w:color="auto" w:fill="auto"/>
          <w:vertAlign w:val="baseline"/>
          <w:rtl w:val="0"/>
          <w:lang w:val="en-US" w:eastAsia="zh-CN"/>
          <w14:textFill>
            <w14:solidFill>
              <w14:schemeClr w14:val="tx1"/>
            </w14:solidFill>
          </w14:textFill>
        </w:rPr>
        <w:t>存在差异的主要原因是</w:t>
      </w:r>
      <w:r>
        <w:rPr>
          <w:rFonts w:hint="eastAsia" w:ascii="仿宋" w:hAnsi="仿宋" w:eastAsia="仿宋" w:cs="仿宋_GB2312"/>
          <w:color w:val="000000" w:themeColor="text1"/>
          <w:sz w:val="32"/>
          <w:szCs w:val="32"/>
          <w:rtl w:val="0"/>
          <w:lang w:val="en-US" w:eastAsia="zh-CN"/>
          <w14:textFill>
            <w14:solidFill>
              <w14:schemeClr w14:val="tx1"/>
            </w14:solidFill>
          </w14:textFill>
        </w:rPr>
        <w:t>：</w:t>
      </w:r>
      <w:r>
        <w:rPr>
          <w:rFonts w:hint="eastAsia" w:ascii="仿宋" w:hAnsi="仿宋" w:eastAsia="仿宋" w:cs="仿宋_GB2312"/>
          <w:color w:val="000000" w:themeColor="text1"/>
          <w:sz w:val="32"/>
          <w:szCs w:val="32"/>
          <w:lang w:val="en-US" w:eastAsia="zh-CN"/>
          <w14:textFill>
            <w14:solidFill>
              <w14:schemeClr w14:val="tx1"/>
            </w14:solidFill>
          </w14:textFill>
        </w:rPr>
        <w:t>本年我单位该项资金未清算。</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_GB2312"/>
          <w:color w:val="000000" w:themeColor="text1"/>
          <w:sz w:val="32"/>
          <w:szCs w:val="32"/>
          <w:lang w:val="en-US" w:eastAsia="zh-CN"/>
          <w14:textFill>
            <w14:solidFill>
              <w14:schemeClr w14:val="tx1"/>
            </w14:solidFill>
          </w14:textFill>
        </w:rPr>
      </w:pPr>
      <w:r>
        <w:rPr>
          <w:rFonts w:hint="eastAsia" w:ascii="仿宋" w:hAnsi="仿宋" w:eastAsia="仿宋" w:cs="仿宋_GB2312"/>
          <w:color w:val="000000" w:themeColor="text1"/>
          <w:sz w:val="32"/>
          <w:szCs w:val="32"/>
          <w:lang w:val="en-US" w:eastAsia="zh-CN"/>
          <w14:textFill>
            <w14:solidFill>
              <w14:schemeClr w14:val="tx1"/>
            </w14:solidFill>
          </w14:textFill>
        </w:rPr>
        <w:t>8.</w:t>
      </w:r>
      <w:r>
        <w:rPr>
          <w:rFonts w:ascii="仿宋" w:hAnsi="仿宋" w:eastAsia="仿宋" w:cs="仿宋_GB2312"/>
          <w:b/>
          <w:bCs w:val="0"/>
          <w:i w:val="0"/>
          <w:iCs w:val="0"/>
          <w:caps w:val="0"/>
          <w:strike w:val="0"/>
          <w:dstrike w:val="0"/>
          <w:emboss w:val="0"/>
          <w:imprint w:val="0"/>
          <w:vanish w:val="0"/>
          <w:color w:val="000000" w:themeColor="text1"/>
          <w:spacing w:val="0"/>
          <w:w w:val="100"/>
          <w:position w:val="0"/>
          <w:sz w:val="32"/>
          <w:szCs w:val="32"/>
          <w:highlight w:val="none"/>
          <w:u w:val="none"/>
          <w:shd w:val="clear" w:color="auto" w:fill="auto"/>
          <w:vertAlign w:val="baseline"/>
          <w:rtl w:val="0"/>
          <w:lang w:val="en-US" w:eastAsia="zh-CN"/>
          <w14:textFill>
            <w14:solidFill>
              <w14:schemeClr w14:val="tx1"/>
            </w14:solidFill>
          </w14:textFill>
        </w:rPr>
        <w:t>卫生健康支出（类）行政事业单位医疗（款）行政单位医疗（项）</w:t>
      </w:r>
      <w:r>
        <w:rPr>
          <w:rFonts w:hint="eastAsia" w:ascii="仿宋" w:hAnsi="仿宋" w:eastAsia="仿宋" w:cs="仿宋_GB2312"/>
          <w:color w:val="000000" w:themeColor="text1"/>
          <w:sz w:val="32"/>
          <w:szCs w:val="32"/>
          <w:lang w:val="en-US" w:eastAsia="zh-CN"/>
          <w14:textFill>
            <w14:solidFill>
              <w14:schemeClr w14:val="tx1"/>
            </w14:solidFill>
          </w14:textFill>
        </w:rPr>
        <w:t>。年初预算为</w:t>
      </w:r>
      <w:r>
        <w:rPr>
          <w:rFonts w:ascii="仿宋" w:hAnsi="仿宋" w:eastAsia="仿宋" w:cs="仿宋_GB2312"/>
          <w:b w:val="0"/>
          <w:bCs w:val="0"/>
          <w:i w:val="0"/>
          <w:iCs w:val="0"/>
          <w:caps w:val="0"/>
          <w:strike w:val="0"/>
          <w:dstrike w:val="0"/>
          <w:emboss w:val="0"/>
          <w:imprint w:val="0"/>
          <w:vanish w:val="0"/>
          <w:color w:val="000000" w:themeColor="text1"/>
          <w:spacing w:val="0"/>
          <w:w w:val="100"/>
          <w:position w:val="0"/>
          <w:sz w:val="32"/>
          <w:szCs w:val="32"/>
          <w:highlight w:val="none"/>
          <w:u w:val="none"/>
          <w:shd w:val="clear" w:color="auto" w:fill="auto"/>
          <w:vertAlign w:val="baseline"/>
          <w:rtl w:val="0"/>
          <w:lang w:val="en-US" w:eastAsia="zh-CN"/>
          <w14:textFill>
            <w14:solidFill>
              <w14:schemeClr w14:val="tx1"/>
            </w14:solidFill>
          </w14:textFill>
        </w:rPr>
        <w:t>46.72</w:t>
      </w:r>
      <w:r>
        <w:rPr>
          <w:rFonts w:hint="eastAsia" w:ascii="仿宋" w:hAnsi="仿宋" w:eastAsia="仿宋" w:cs="仿宋_GB2312"/>
          <w:color w:val="000000" w:themeColor="text1"/>
          <w:sz w:val="32"/>
          <w:szCs w:val="32"/>
          <w:lang w:val="en-US" w:eastAsia="zh-CN"/>
          <w14:textFill>
            <w14:solidFill>
              <w14:schemeClr w14:val="tx1"/>
            </w14:solidFill>
          </w14:textFill>
        </w:rPr>
        <w:t>万元，支出决算为</w:t>
      </w:r>
      <w:r>
        <w:rPr>
          <w:rFonts w:ascii="仿宋" w:hAnsi="仿宋" w:eastAsia="仿宋" w:cs="仿宋_GB2312"/>
          <w:b w:val="0"/>
          <w:bCs w:val="0"/>
          <w:i w:val="0"/>
          <w:iCs w:val="0"/>
          <w:caps w:val="0"/>
          <w:strike w:val="0"/>
          <w:dstrike w:val="0"/>
          <w:emboss w:val="0"/>
          <w:imprint w:val="0"/>
          <w:vanish w:val="0"/>
          <w:color w:val="000000" w:themeColor="text1"/>
          <w:spacing w:val="0"/>
          <w:w w:val="100"/>
          <w:position w:val="0"/>
          <w:sz w:val="32"/>
          <w:szCs w:val="32"/>
          <w:highlight w:val="none"/>
          <w:u w:val="none"/>
          <w:shd w:val="clear" w:color="auto" w:fill="auto"/>
          <w:vertAlign w:val="baseline"/>
          <w:rtl w:val="0"/>
          <w:lang w:val="en-US" w:eastAsia="zh-CN"/>
          <w14:textFill>
            <w14:solidFill>
              <w14:schemeClr w14:val="tx1"/>
            </w14:solidFill>
          </w14:textFill>
        </w:rPr>
        <w:t>50.40</w:t>
      </w:r>
      <w:r>
        <w:rPr>
          <w:rFonts w:hint="eastAsia" w:ascii="仿宋" w:hAnsi="仿宋" w:eastAsia="仿宋" w:cs="仿宋_GB2312"/>
          <w:color w:val="000000" w:themeColor="text1"/>
          <w:sz w:val="32"/>
          <w:szCs w:val="32"/>
          <w:lang w:val="en-US" w:eastAsia="zh-CN"/>
          <w14:textFill>
            <w14:solidFill>
              <w14:schemeClr w14:val="tx1"/>
            </w14:solidFill>
          </w14:textFill>
        </w:rPr>
        <w:t>万元</w:t>
      </w:r>
      <w:r>
        <w:rPr>
          <w:rFonts w:ascii="仿宋" w:hAnsi="仿宋" w:eastAsia="仿宋" w:cs="仿宋_GB2312"/>
          <w:b w:val="0"/>
          <w:bCs w:val="0"/>
          <w:i w:val="0"/>
          <w:iCs w:val="0"/>
          <w:caps w:val="0"/>
          <w:strike w:val="0"/>
          <w:dstrike w:val="0"/>
          <w:emboss w:val="0"/>
          <w:imprint w:val="0"/>
          <w:vanish w:val="0"/>
          <w:color w:val="000000" w:themeColor="text1"/>
          <w:spacing w:val="0"/>
          <w:w w:val="100"/>
          <w:position w:val="0"/>
          <w:sz w:val="32"/>
          <w:szCs w:val="32"/>
          <w:highlight w:val="none"/>
          <w:u w:val="none"/>
          <w:shd w:val="clear" w:color="auto" w:fill="auto"/>
          <w:vertAlign w:val="baseline"/>
          <w:rtl w:val="0"/>
          <w:lang w:val="en-US" w:eastAsia="zh-CN"/>
          <w14:textFill>
            <w14:solidFill>
              <w14:schemeClr w14:val="tx1"/>
            </w14:solidFill>
          </w14:textFill>
        </w:rPr>
        <w:t>，完成年初预算的107.87%</w:t>
      </w:r>
      <w:r>
        <w:rPr>
          <w:rFonts w:hint="eastAsia" w:ascii="仿宋" w:hAnsi="仿宋" w:eastAsia="仿宋" w:cs="仿宋_GB2312"/>
          <w:color w:val="000000" w:themeColor="text1"/>
          <w:sz w:val="32"/>
          <w:szCs w:val="32"/>
          <w:lang w:val="en-US" w:eastAsia="zh-CN"/>
          <w14:textFill>
            <w14:solidFill>
              <w14:schemeClr w14:val="tx1"/>
            </w14:solidFill>
          </w14:textFill>
        </w:rPr>
        <w:t>。决算数与年初预算数</w:t>
      </w:r>
      <w:r>
        <w:rPr>
          <w:rFonts w:ascii="仿宋" w:hAnsi="仿宋" w:eastAsia="仿宋" w:cs="仿宋_GB2312"/>
          <w:b w:val="0"/>
          <w:bCs w:val="0"/>
          <w:i w:val="0"/>
          <w:iCs w:val="0"/>
          <w:caps w:val="0"/>
          <w:strike w:val="0"/>
          <w:dstrike w:val="0"/>
          <w:emboss w:val="0"/>
          <w:imprint w:val="0"/>
          <w:vanish w:val="0"/>
          <w:color w:val="000000" w:themeColor="text1"/>
          <w:spacing w:val="0"/>
          <w:w w:val="100"/>
          <w:position w:val="0"/>
          <w:sz w:val="32"/>
          <w:szCs w:val="32"/>
          <w:highlight w:val="none"/>
          <w:u w:val="none"/>
          <w:shd w:val="clear" w:color="auto" w:fill="auto"/>
          <w:vertAlign w:val="baseline"/>
          <w:rtl w:val="0"/>
          <w:lang w:val="en-US" w:eastAsia="zh-CN"/>
          <w14:textFill>
            <w14:solidFill>
              <w14:schemeClr w14:val="tx1"/>
            </w14:solidFill>
          </w14:textFill>
        </w:rPr>
        <w:t>存在差异的主要原因是</w:t>
      </w:r>
      <w:r>
        <w:rPr>
          <w:rFonts w:hint="eastAsia" w:ascii="仿宋" w:hAnsi="仿宋" w:eastAsia="仿宋" w:cs="仿宋_GB2312"/>
          <w:color w:val="000000" w:themeColor="text1"/>
          <w:sz w:val="32"/>
          <w:szCs w:val="32"/>
          <w:rtl w:val="0"/>
          <w:lang w:val="en-US" w:eastAsia="zh-CN"/>
          <w14:textFill>
            <w14:solidFill>
              <w14:schemeClr w14:val="tx1"/>
            </w14:solidFill>
          </w14:textFill>
        </w:rPr>
        <w:t>：</w:t>
      </w:r>
      <w:r>
        <w:rPr>
          <w:rFonts w:hint="eastAsia" w:ascii="仿宋" w:hAnsi="仿宋" w:eastAsia="仿宋" w:cs="仿宋_GB2312"/>
          <w:color w:val="000000" w:themeColor="text1"/>
          <w:sz w:val="32"/>
          <w:szCs w:val="32"/>
          <w:lang w:val="en-US" w:eastAsia="zh-CN"/>
          <w14:textFill>
            <w14:solidFill>
              <w14:schemeClr w14:val="tx1"/>
            </w14:solidFill>
          </w14:textFill>
        </w:rPr>
        <w:t>本年我单位人员增长，社保基数上调。</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_GB2312"/>
          <w:color w:val="000000" w:themeColor="text1"/>
          <w:sz w:val="32"/>
          <w:szCs w:val="32"/>
          <w:lang w:val="en-US" w:eastAsia="zh-CN"/>
          <w14:textFill>
            <w14:solidFill>
              <w14:schemeClr w14:val="tx1"/>
            </w14:solidFill>
          </w14:textFill>
        </w:rPr>
      </w:pPr>
      <w:r>
        <w:rPr>
          <w:rFonts w:hint="eastAsia" w:ascii="仿宋" w:hAnsi="仿宋" w:eastAsia="仿宋" w:cs="仿宋_GB2312"/>
          <w:color w:val="000000" w:themeColor="text1"/>
          <w:sz w:val="32"/>
          <w:szCs w:val="32"/>
          <w:lang w:val="en-US" w:eastAsia="zh-CN"/>
          <w14:textFill>
            <w14:solidFill>
              <w14:schemeClr w14:val="tx1"/>
            </w14:solidFill>
          </w14:textFill>
        </w:rPr>
        <w:t>9.</w:t>
      </w:r>
      <w:r>
        <w:rPr>
          <w:rFonts w:ascii="仿宋" w:hAnsi="仿宋" w:eastAsia="仿宋" w:cs="仿宋_GB2312"/>
          <w:b/>
          <w:bCs w:val="0"/>
          <w:i w:val="0"/>
          <w:iCs w:val="0"/>
          <w:caps w:val="0"/>
          <w:strike w:val="0"/>
          <w:dstrike w:val="0"/>
          <w:emboss w:val="0"/>
          <w:imprint w:val="0"/>
          <w:vanish w:val="0"/>
          <w:color w:val="000000" w:themeColor="text1"/>
          <w:spacing w:val="0"/>
          <w:w w:val="100"/>
          <w:position w:val="0"/>
          <w:sz w:val="32"/>
          <w:szCs w:val="32"/>
          <w:highlight w:val="none"/>
          <w:u w:val="none"/>
          <w:shd w:val="clear" w:color="auto" w:fill="auto"/>
          <w:vertAlign w:val="baseline"/>
          <w:rtl w:val="0"/>
          <w:lang w:val="en-US" w:eastAsia="zh-CN"/>
          <w14:textFill>
            <w14:solidFill>
              <w14:schemeClr w14:val="tx1"/>
            </w14:solidFill>
          </w14:textFill>
        </w:rPr>
        <w:t>卫生健康支出（类）行政事业单位医疗（款）事业单位医疗（项）</w:t>
      </w:r>
      <w:r>
        <w:rPr>
          <w:rFonts w:hint="eastAsia" w:ascii="仿宋" w:hAnsi="仿宋" w:eastAsia="仿宋" w:cs="仿宋_GB2312"/>
          <w:color w:val="000000" w:themeColor="text1"/>
          <w:sz w:val="32"/>
          <w:szCs w:val="32"/>
          <w:lang w:val="en-US" w:eastAsia="zh-CN"/>
          <w14:textFill>
            <w14:solidFill>
              <w14:schemeClr w14:val="tx1"/>
            </w14:solidFill>
          </w14:textFill>
        </w:rPr>
        <w:t>。年初预算为</w:t>
      </w:r>
      <w:r>
        <w:rPr>
          <w:rFonts w:ascii="仿宋" w:hAnsi="仿宋" w:eastAsia="仿宋" w:cs="仿宋_GB2312"/>
          <w:b w:val="0"/>
          <w:bCs w:val="0"/>
          <w:i w:val="0"/>
          <w:iCs w:val="0"/>
          <w:caps w:val="0"/>
          <w:strike w:val="0"/>
          <w:dstrike w:val="0"/>
          <w:emboss w:val="0"/>
          <w:imprint w:val="0"/>
          <w:vanish w:val="0"/>
          <w:color w:val="000000" w:themeColor="text1"/>
          <w:spacing w:val="0"/>
          <w:w w:val="100"/>
          <w:position w:val="0"/>
          <w:sz w:val="32"/>
          <w:szCs w:val="32"/>
          <w:highlight w:val="none"/>
          <w:u w:val="none"/>
          <w:shd w:val="clear" w:color="auto" w:fill="auto"/>
          <w:vertAlign w:val="baseline"/>
          <w:rtl w:val="0"/>
          <w:lang w:val="en-US" w:eastAsia="zh-CN"/>
          <w14:textFill>
            <w14:solidFill>
              <w14:schemeClr w14:val="tx1"/>
            </w14:solidFill>
          </w14:textFill>
        </w:rPr>
        <w:t>10.81</w:t>
      </w:r>
      <w:r>
        <w:rPr>
          <w:rFonts w:hint="eastAsia" w:ascii="仿宋" w:hAnsi="仿宋" w:eastAsia="仿宋" w:cs="仿宋_GB2312"/>
          <w:color w:val="000000" w:themeColor="text1"/>
          <w:sz w:val="32"/>
          <w:szCs w:val="32"/>
          <w:lang w:val="en-US" w:eastAsia="zh-CN"/>
          <w14:textFill>
            <w14:solidFill>
              <w14:schemeClr w14:val="tx1"/>
            </w14:solidFill>
          </w14:textFill>
        </w:rPr>
        <w:t>万元，支出决算为</w:t>
      </w:r>
      <w:r>
        <w:rPr>
          <w:rFonts w:ascii="仿宋" w:hAnsi="仿宋" w:eastAsia="仿宋" w:cs="仿宋_GB2312"/>
          <w:b w:val="0"/>
          <w:bCs w:val="0"/>
          <w:i w:val="0"/>
          <w:iCs w:val="0"/>
          <w:caps w:val="0"/>
          <w:strike w:val="0"/>
          <w:dstrike w:val="0"/>
          <w:emboss w:val="0"/>
          <w:imprint w:val="0"/>
          <w:vanish w:val="0"/>
          <w:color w:val="000000" w:themeColor="text1"/>
          <w:spacing w:val="0"/>
          <w:w w:val="100"/>
          <w:position w:val="0"/>
          <w:sz w:val="32"/>
          <w:szCs w:val="32"/>
          <w:highlight w:val="none"/>
          <w:u w:val="none"/>
          <w:shd w:val="clear" w:color="auto" w:fill="auto"/>
          <w:vertAlign w:val="baseline"/>
          <w:rtl w:val="0"/>
          <w:lang w:val="en-US" w:eastAsia="zh-CN"/>
          <w14:textFill>
            <w14:solidFill>
              <w14:schemeClr w14:val="tx1"/>
            </w14:solidFill>
          </w14:textFill>
        </w:rPr>
        <w:t>10.81</w:t>
      </w:r>
      <w:r>
        <w:rPr>
          <w:rFonts w:hint="eastAsia" w:ascii="仿宋" w:hAnsi="仿宋" w:eastAsia="仿宋" w:cs="仿宋_GB2312"/>
          <w:color w:val="000000" w:themeColor="text1"/>
          <w:sz w:val="32"/>
          <w:szCs w:val="32"/>
          <w:lang w:val="en-US" w:eastAsia="zh-CN"/>
          <w14:textFill>
            <w14:solidFill>
              <w14:schemeClr w14:val="tx1"/>
            </w14:solidFill>
          </w14:textFill>
        </w:rPr>
        <w:t>万元</w:t>
      </w:r>
      <w:r>
        <w:rPr>
          <w:rFonts w:ascii="仿宋" w:hAnsi="仿宋" w:eastAsia="仿宋" w:cs="仿宋_GB2312"/>
          <w:b w:val="0"/>
          <w:bCs w:val="0"/>
          <w:i w:val="0"/>
          <w:iCs w:val="0"/>
          <w:caps w:val="0"/>
          <w:strike w:val="0"/>
          <w:dstrike w:val="0"/>
          <w:emboss w:val="0"/>
          <w:imprint w:val="0"/>
          <w:vanish w:val="0"/>
          <w:color w:val="000000" w:themeColor="text1"/>
          <w:spacing w:val="0"/>
          <w:w w:val="100"/>
          <w:position w:val="0"/>
          <w:sz w:val="32"/>
          <w:szCs w:val="32"/>
          <w:highlight w:val="none"/>
          <w:u w:val="none"/>
          <w:shd w:val="clear" w:color="auto" w:fill="auto"/>
          <w:vertAlign w:val="baseline"/>
          <w:rtl w:val="0"/>
          <w:lang w:val="en-US" w:eastAsia="zh-CN"/>
          <w14:textFill>
            <w14:solidFill>
              <w14:schemeClr w14:val="tx1"/>
            </w14:solidFill>
          </w14:textFill>
        </w:rPr>
        <w:t>，完成年初预算的99.99%</w:t>
      </w:r>
      <w:r>
        <w:rPr>
          <w:rFonts w:hint="eastAsia" w:ascii="仿宋" w:hAnsi="仿宋" w:eastAsia="仿宋" w:cs="仿宋_GB2312"/>
          <w:color w:val="000000" w:themeColor="text1"/>
          <w:sz w:val="32"/>
          <w:szCs w:val="32"/>
          <w:lang w:val="en-US" w:eastAsia="zh-CN"/>
          <w14:textFill>
            <w14:solidFill>
              <w14:schemeClr w14:val="tx1"/>
            </w14:solidFill>
          </w14:textFill>
        </w:rPr>
        <w:t>。决算数与年初预算数</w:t>
      </w:r>
      <w:r>
        <w:rPr>
          <w:rFonts w:ascii="仿宋" w:hAnsi="仿宋" w:eastAsia="仿宋" w:cs="仿宋_GB2312"/>
          <w:b w:val="0"/>
          <w:bCs w:val="0"/>
          <w:i w:val="0"/>
          <w:iCs w:val="0"/>
          <w:caps w:val="0"/>
          <w:strike w:val="0"/>
          <w:dstrike w:val="0"/>
          <w:emboss w:val="0"/>
          <w:imprint w:val="0"/>
          <w:vanish w:val="0"/>
          <w:color w:val="000000" w:themeColor="text1"/>
          <w:spacing w:val="0"/>
          <w:w w:val="100"/>
          <w:position w:val="0"/>
          <w:sz w:val="32"/>
          <w:szCs w:val="32"/>
          <w:highlight w:val="none"/>
          <w:u w:val="none"/>
          <w:shd w:val="clear" w:color="auto" w:fill="auto"/>
          <w:vertAlign w:val="baseline"/>
          <w:rtl w:val="0"/>
          <w:lang w:val="en-US" w:eastAsia="zh-CN"/>
          <w14:textFill>
            <w14:solidFill>
              <w14:schemeClr w14:val="tx1"/>
            </w14:solidFill>
          </w14:textFill>
        </w:rPr>
        <w:t>存在差异的主要原因是：</w:t>
      </w:r>
      <w:r>
        <w:rPr>
          <w:rFonts w:hint="eastAsia" w:ascii="仿宋" w:hAnsi="仿宋" w:eastAsia="仿宋" w:cs="仿宋_GB2312"/>
          <w:color w:val="000000" w:themeColor="text1"/>
          <w:sz w:val="32"/>
          <w:szCs w:val="32"/>
          <w:lang w:val="en-US" w:eastAsia="zh-CN"/>
          <w14:textFill>
            <w14:solidFill>
              <w14:schemeClr w14:val="tx1"/>
            </w14:solidFill>
          </w14:textFill>
        </w:rPr>
        <w:t>本年我单位该项资金未清算。</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_GB2312"/>
          <w:color w:val="000000" w:themeColor="text1"/>
          <w:sz w:val="32"/>
          <w:szCs w:val="32"/>
          <w:lang w:val="en-US" w:eastAsia="zh-CN"/>
          <w14:textFill>
            <w14:solidFill>
              <w14:schemeClr w14:val="tx1"/>
            </w14:solidFill>
          </w14:textFill>
        </w:rPr>
      </w:pPr>
      <w:r>
        <w:rPr>
          <w:rFonts w:hint="eastAsia" w:ascii="仿宋" w:hAnsi="仿宋" w:eastAsia="仿宋" w:cs="仿宋_GB2312"/>
          <w:color w:val="000000" w:themeColor="text1"/>
          <w:sz w:val="32"/>
          <w:szCs w:val="32"/>
          <w:lang w:val="en-US" w:eastAsia="zh-CN"/>
          <w14:textFill>
            <w14:solidFill>
              <w14:schemeClr w14:val="tx1"/>
            </w14:solidFill>
          </w14:textFill>
        </w:rPr>
        <w:t>10.</w:t>
      </w:r>
      <w:r>
        <w:rPr>
          <w:rFonts w:ascii="仿宋" w:hAnsi="仿宋" w:eastAsia="仿宋" w:cs="仿宋_GB2312"/>
          <w:b/>
          <w:bCs w:val="0"/>
          <w:i w:val="0"/>
          <w:iCs w:val="0"/>
          <w:caps w:val="0"/>
          <w:strike w:val="0"/>
          <w:dstrike w:val="0"/>
          <w:emboss w:val="0"/>
          <w:imprint w:val="0"/>
          <w:vanish w:val="0"/>
          <w:color w:val="000000" w:themeColor="text1"/>
          <w:spacing w:val="0"/>
          <w:w w:val="100"/>
          <w:position w:val="0"/>
          <w:sz w:val="32"/>
          <w:szCs w:val="32"/>
          <w:highlight w:val="none"/>
          <w:u w:val="none"/>
          <w:shd w:val="clear" w:color="auto" w:fill="auto"/>
          <w:vertAlign w:val="baseline"/>
          <w:rtl w:val="0"/>
          <w:lang w:val="en-US" w:eastAsia="zh-CN"/>
          <w14:textFill>
            <w14:solidFill>
              <w14:schemeClr w14:val="tx1"/>
            </w14:solidFill>
          </w14:textFill>
        </w:rPr>
        <w:t>卫生健康支出（类）行政事业单位医疗（款）其他行政事业单位医疗支出（项）</w:t>
      </w:r>
      <w:r>
        <w:rPr>
          <w:rFonts w:hint="eastAsia" w:ascii="仿宋" w:hAnsi="仿宋" w:eastAsia="仿宋" w:cs="仿宋_GB2312"/>
          <w:color w:val="000000" w:themeColor="text1"/>
          <w:sz w:val="32"/>
          <w:szCs w:val="32"/>
          <w:lang w:val="en-US" w:eastAsia="zh-CN"/>
          <w14:textFill>
            <w14:solidFill>
              <w14:schemeClr w14:val="tx1"/>
            </w14:solidFill>
          </w14:textFill>
        </w:rPr>
        <w:t>。年初预算为</w:t>
      </w:r>
      <w:r>
        <w:rPr>
          <w:rFonts w:ascii="仿宋" w:hAnsi="仿宋" w:eastAsia="仿宋" w:cs="仿宋_GB2312"/>
          <w:b w:val="0"/>
          <w:bCs w:val="0"/>
          <w:i w:val="0"/>
          <w:iCs w:val="0"/>
          <w:caps w:val="0"/>
          <w:strike w:val="0"/>
          <w:dstrike w:val="0"/>
          <w:emboss w:val="0"/>
          <w:imprint w:val="0"/>
          <w:vanish w:val="0"/>
          <w:color w:val="000000" w:themeColor="text1"/>
          <w:spacing w:val="0"/>
          <w:w w:val="100"/>
          <w:position w:val="0"/>
          <w:sz w:val="32"/>
          <w:szCs w:val="32"/>
          <w:highlight w:val="none"/>
          <w:u w:val="none"/>
          <w:shd w:val="clear" w:color="auto" w:fill="auto"/>
          <w:vertAlign w:val="baseline"/>
          <w:rtl w:val="0"/>
          <w:lang w:val="en-US" w:eastAsia="zh-CN"/>
          <w14:textFill>
            <w14:solidFill>
              <w14:schemeClr w14:val="tx1"/>
            </w14:solidFill>
          </w14:textFill>
        </w:rPr>
        <w:t>10.51</w:t>
      </w:r>
      <w:r>
        <w:rPr>
          <w:rFonts w:hint="eastAsia" w:ascii="仿宋" w:hAnsi="仿宋" w:eastAsia="仿宋" w:cs="仿宋_GB2312"/>
          <w:color w:val="000000" w:themeColor="text1"/>
          <w:sz w:val="32"/>
          <w:szCs w:val="32"/>
          <w:lang w:val="en-US" w:eastAsia="zh-CN"/>
          <w14:textFill>
            <w14:solidFill>
              <w14:schemeClr w14:val="tx1"/>
            </w14:solidFill>
          </w14:textFill>
        </w:rPr>
        <w:t>万元，支出决算为</w:t>
      </w:r>
      <w:r>
        <w:rPr>
          <w:rFonts w:ascii="仿宋" w:hAnsi="仿宋" w:eastAsia="仿宋" w:cs="仿宋_GB2312"/>
          <w:b w:val="0"/>
          <w:bCs w:val="0"/>
          <w:i w:val="0"/>
          <w:iCs w:val="0"/>
          <w:caps w:val="0"/>
          <w:strike w:val="0"/>
          <w:dstrike w:val="0"/>
          <w:emboss w:val="0"/>
          <w:imprint w:val="0"/>
          <w:vanish w:val="0"/>
          <w:color w:val="000000" w:themeColor="text1"/>
          <w:spacing w:val="0"/>
          <w:w w:val="100"/>
          <w:position w:val="0"/>
          <w:sz w:val="32"/>
          <w:szCs w:val="32"/>
          <w:highlight w:val="none"/>
          <w:u w:val="none"/>
          <w:shd w:val="clear" w:color="auto" w:fill="auto"/>
          <w:vertAlign w:val="baseline"/>
          <w:rtl w:val="0"/>
          <w:lang w:val="en-US" w:eastAsia="zh-CN"/>
          <w14:textFill>
            <w14:solidFill>
              <w14:schemeClr w14:val="tx1"/>
            </w14:solidFill>
          </w14:textFill>
        </w:rPr>
        <w:t>10.51</w:t>
      </w:r>
      <w:r>
        <w:rPr>
          <w:rFonts w:hint="eastAsia" w:ascii="仿宋" w:hAnsi="仿宋" w:eastAsia="仿宋" w:cs="仿宋_GB2312"/>
          <w:color w:val="000000" w:themeColor="text1"/>
          <w:sz w:val="32"/>
          <w:szCs w:val="32"/>
          <w:lang w:val="en-US" w:eastAsia="zh-CN"/>
          <w14:textFill>
            <w14:solidFill>
              <w14:schemeClr w14:val="tx1"/>
            </w14:solidFill>
          </w14:textFill>
        </w:rPr>
        <w:t>万元</w:t>
      </w:r>
      <w:r>
        <w:rPr>
          <w:rFonts w:ascii="仿宋" w:hAnsi="仿宋" w:eastAsia="仿宋" w:cs="仿宋_GB2312"/>
          <w:b w:val="0"/>
          <w:bCs w:val="0"/>
          <w:i w:val="0"/>
          <w:iCs w:val="0"/>
          <w:caps w:val="0"/>
          <w:strike w:val="0"/>
          <w:dstrike w:val="0"/>
          <w:emboss w:val="0"/>
          <w:imprint w:val="0"/>
          <w:vanish w:val="0"/>
          <w:color w:val="000000" w:themeColor="text1"/>
          <w:spacing w:val="0"/>
          <w:w w:val="100"/>
          <w:position w:val="0"/>
          <w:sz w:val="32"/>
          <w:szCs w:val="32"/>
          <w:highlight w:val="none"/>
          <w:u w:val="none"/>
          <w:shd w:val="clear" w:color="auto" w:fill="auto"/>
          <w:vertAlign w:val="baseline"/>
          <w:rtl w:val="0"/>
          <w:lang w:val="en-US" w:eastAsia="zh-CN"/>
          <w14:textFill>
            <w14:solidFill>
              <w14:schemeClr w14:val="tx1"/>
            </w14:solidFill>
          </w14:textFill>
        </w:rPr>
        <w:t>，完成年初预算的100.04%</w:t>
      </w:r>
      <w:r>
        <w:rPr>
          <w:rFonts w:hint="eastAsia" w:ascii="仿宋" w:hAnsi="仿宋" w:eastAsia="仿宋" w:cs="仿宋_GB2312"/>
          <w:color w:val="000000" w:themeColor="text1"/>
          <w:sz w:val="32"/>
          <w:szCs w:val="32"/>
          <w:lang w:val="en-US" w:eastAsia="zh-CN"/>
          <w14:textFill>
            <w14:solidFill>
              <w14:schemeClr w14:val="tx1"/>
            </w14:solidFill>
          </w14:textFill>
        </w:rPr>
        <w:t>。决算数与年初预算数</w:t>
      </w:r>
      <w:r>
        <w:rPr>
          <w:rFonts w:ascii="仿宋" w:hAnsi="仿宋" w:eastAsia="仿宋" w:cs="仿宋_GB2312"/>
          <w:b w:val="0"/>
          <w:bCs w:val="0"/>
          <w:i w:val="0"/>
          <w:iCs w:val="0"/>
          <w:caps w:val="0"/>
          <w:strike w:val="0"/>
          <w:dstrike w:val="0"/>
          <w:emboss w:val="0"/>
          <w:imprint w:val="0"/>
          <w:vanish w:val="0"/>
          <w:color w:val="000000" w:themeColor="text1"/>
          <w:spacing w:val="0"/>
          <w:w w:val="100"/>
          <w:position w:val="0"/>
          <w:sz w:val="32"/>
          <w:szCs w:val="32"/>
          <w:highlight w:val="none"/>
          <w:u w:val="none"/>
          <w:shd w:val="clear" w:color="auto" w:fill="auto"/>
          <w:vertAlign w:val="baseline"/>
          <w:rtl w:val="0"/>
          <w:lang w:val="en-US" w:eastAsia="zh-CN"/>
          <w14:textFill>
            <w14:solidFill>
              <w14:schemeClr w14:val="tx1"/>
            </w14:solidFill>
          </w14:textFill>
        </w:rPr>
        <w:t>存在差异的主要原因</w:t>
      </w:r>
      <w:r>
        <w:rPr>
          <w:rFonts w:hint="eastAsia" w:ascii="仿宋" w:hAnsi="仿宋" w:eastAsia="仿宋" w:cs="仿宋_GB2312"/>
          <w:color w:val="000000" w:themeColor="text1"/>
          <w:sz w:val="32"/>
          <w:szCs w:val="32"/>
          <w:rtl w:val="0"/>
          <w:lang w:val="en-US" w:eastAsia="zh-CN"/>
          <w14:textFill>
            <w14:solidFill>
              <w14:schemeClr w14:val="tx1"/>
            </w14:solidFill>
          </w14:textFill>
        </w:rPr>
        <w:t>是：</w:t>
      </w:r>
      <w:r>
        <w:rPr>
          <w:rFonts w:hint="eastAsia" w:ascii="仿宋" w:hAnsi="仿宋" w:eastAsia="仿宋" w:cs="仿宋_GB2312"/>
          <w:color w:val="000000" w:themeColor="text1"/>
          <w:sz w:val="32"/>
          <w:szCs w:val="32"/>
          <w:lang w:val="en-US" w:eastAsia="zh-CN"/>
          <w14:textFill>
            <w14:solidFill>
              <w14:schemeClr w14:val="tx1"/>
            </w14:solidFill>
          </w14:textFill>
        </w:rPr>
        <w:t>本年我单位人员增长，社保基数上调。</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_GB2312"/>
          <w:color w:val="000000" w:themeColor="text1"/>
          <w:sz w:val="32"/>
          <w:szCs w:val="32"/>
          <w:lang w:val="en-US" w:eastAsia="zh-CN"/>
          <w14:textFill>
            <w14:solidFill>
              <w14:schemeClr w14:val="tx1"/>
            </w14:solidFill>
          </w14:textFill>
        </w:rPr>
      </w:pPr>
      <w:r>
        <w:rPr>
          <w:rFonts w:hint="eastAsia" w:ascii="仿宋" w:hAnsi="仿宋" w:eastAsia="仿宋" w:cs="仿宋_GB2312"/>
          <w:color w:val="000000" w:themeColor="text1"/>
          <w:sz w:val="32"/>
          <w:szCs w:val="32"/>
          <w:lang w:val="en-US" w:eastAsia="zh-CN"/>
          <w14:textFill>
            <w14:solidFill>
              <w14:schemeClr w14:val="tx1"/>
            </w14:solidFill>
          </w14:textFill>
        </w:rPr>
        <w:t>11.</w:t>
      </w:r>
      <w:r>
        <w:rPr>
          <w:rFonts w:ascii="仿宋" w:hAnsi="仿宋" w:eastAsia="仿宋" w:cs="仿宋_GB2312"/>
          <w:b/>
          <w:bCs w:val="0"/>
          <w:i w:val="0"/>
          <w:iCs w:val="0"/>
          <w:caps w:val="0"/>
          <w:strike w:val="0"/>
          <w:dstrike w:val="0"/>
          <w:emboss w:val="0"/>
          <w:imprint w:val="0"/>
          <w:vanish w:val="0"/>
          <w:color w:val="000000" w:themeColor="text1"/>
          <w:spacing w:val="0"/>
          <w:w w:val="100"/>
          <w:position w:val="0"/>
          <w:sz w:val="32"/>
          <w:szCs w:val="32"/>
          <w:highlight w:val="none"/>
          <w:u w:val="none"/>
          <w:shd w:val="clear" w:color="auto" w:fill="auto"/>
          <w:vertAlign w:val="baseline"/>
          <w:rtl w:val="0"/>
          <w:lang w:val="en-US" w:eastAsia="zh-CN"/>
          <w14:textFill>
            <w14:solidFill>
              <w14:schemeClr w14:val="tx1"/>
            </w14:solidFill>
          </w14:textFill>
        </w:rPr>
        <w:t>住房保障支出（类）住房改革支出（款）住房公积金（项）</w:t>
      </w:r>
      <w:r>
        <w:rPr>
          <w:rFonts w:hint="eastAsia" w:ascii="仿宋" w:hAnsi="仿宋" w:eastAsia="仿宋" w:cs="仿宋_GB2312"/>
          <w:color w:val="000000" w:themeColor="text1"/>
          <w:sz w:val="32"/>
          <w:szCs w:val="32"/>
          <w:lang w:val="en-US" w:eastAsia="zh-CN"/>
          <w14:textFill>
            <w14:solidFill>
              <w14:schemeClr w14:val="tx1"/>
            </w14:solidFill>
          </w14:textFill>
        </w:rPr>
        <w:t>。年初预算为</w:t>
      </w:r>
      <w:r>
        <w:rPr>
          <w:rFonts w:ascii="仿宋" w:hAnsi="仿宋" w:eastAsia="仿宋" w:cs="仿宋_GB2312"/>
          <w:b w:val="0"/>
          <w:bCs w:val="0"/>
          <w:i w:val="0"/>
          <w:iCs w:val="0"/>
          <w:caps w:val="0"/>
          <w:strike w:val="0"/>
          <w:dstrike w:val="0"/>
          <w:emboss w:val="0"/>
          <w:imprint w:val="0"/>
          <w:vanish w:val="0"/>
          <w:color w:val="000000" w:themeColor="text1"/>
          <w:spacing w:val="0"/>
          <w:w w:val="100"/>
          <w:position w:val="0"/>
          <w:sz w:val="32"/>
          <w:szCs w:val="32"/>
          <w:highlight w:val="none"/>
          <w:u w:val="none"/>
          <w:shd w:val="clear" w:color="auto" w:fill="auto"/>
          <w:vertAlign w:val="baseline"/>
          <w:rtl w:val="0"/>
          <w:lang w:val="en-US" w:eastAsia="zh-CN"/>
          <w14:textFill>
            <w14:solidFill>
              <w14:schemeClr w14:val="tx1"/>
            </w14:solidFill>
          </w14:textFill>
        </w:rPr>
        <w:t>71.91</w:t>
      </w:r>
      <w:r>
        <w:rPr>
          <w:rFonts w:hint="eastAsia" w:ascii="仿宋" w:hAnsi="仿宋" w:eastAsia="仿宋" w:cs="仿宋_GB2312"/>
          <w:color w:val="000000" w:themeColor="text1"/>
          <w:sz w:val="32"/>
          <w:szCs w:val="32"/>
          <w:lang w:val="en-US" w:eastAsia="zh-CN"/>
          <w14:textFill>
            <w14:solidFill>
              <w14:schemeClr w14:val="tx1"/>
            </w14:solidFill>
          </w14:textFill>
        </w:rPr>
        <w:t>万元，支出决算为</w:t>
      </w:r>
      <w:r>
        <w:rPr>
          <w:rFonts w:ascii="仿宋" w:hAnsi="仿宋" w:eastAsia="仿宋" w:cs="仿宋_GB2312"/>
          <w:b w:val="0"/>
          <w:bCs w:val="0"/>
          <w:i w:val="0"/>
          <w:iCs w:val="0"/>
          <w:caps w:val="0"/>
          <w:strike w:val="0"/>
          <w:dstrike w:val="0"/>
          <w:emboss w:val="0"/>
          <w:imprint w:val="0"/>
          <w:vanish w:val="0"/>
          <w:color w:val="000000" w:themeColor="text1"/>
          <w:spacing w:val="0"/>
          <w:w w:val="100"/>
          <w:position w:val="0"/>
          <w:sz w:val="32"/>
          <w:szCs w:val="32"/>
          <w:highlight w:val="none"/>
          <w:u w:val="none"/>
          <w:shd w:val="clear" w:color="auto" w:fill="auto"/>
          <w:vertAlign w:val="baseline"/>
          <w:rtl w:val="0"/>
          <w:lang w:val="en-US" w:eastAsia="zh-CN"/>
          <w14:textFill>
            <w14:solidFill>
              <w14:schemeClr w14:val="tx1"/>
            </w14:solidFill>
          </w14:textFill>
        </w:rPr>
        <w:t>77.20</w:t>
      </w:r>
      <w:r>
        <w:rPr>
          <w:rFonts w:hint="eastAsia" w:ascii="仿宋" w:hAnsi="仿宋" w:eastAsia="仿宋" w:cs="仿宋_GB2312"/>
          <w:color w:val="000000" w:themeColor="text1"/>
          <w:sz w:val="32"/>
          <w:szCs w:val="32"/>
          <w:lang w:val="en-US" w:eastAsia="zh-CN"/>
          <w14:textFill>
            <w14:solidFill>
              <w14:schemeClr w14:val="tx1"/>
            </w14:solidFill>
          </w14:textFill>
        </w:rPr>
        <w:t>万元</w:t>
      </w:r>
      <w:r>
        <w:rPr>
          <w:rFonts w:ascii="仿宋" w:hAnsi="仿宋" w:eastAsia="仿宋" w:cs="仿宋_GB2312"/>
          <w:b w:val="0"/>
          <w:bCs w:val="0"/>
          <w:i w:val="0"/>
          <w:iCs w:val="0"/>
          <w:caps w:val="0"/>
          <w:strike w:val="0"/>
          <w:dstrike w:val="0"/>
          <w:emboss w:val="0"/>
          <w:imprint w:val="0"/>
          <w:vanish w:val="0"/>
          <w:color w:val="000000" w:themeColor="text1"/>
          <w:spacing w:val="0"/>
          <w:w w:val="100"/>
          <w:position w:val="0"/>
          <w:sz w:val="32"/>
          <w:szCs w:val="32"/>
          <w:highlight w:val="none"/>
          <w:u w:val="none"/>
          <w:shd w:val="clear" w:color="auto" w:fill="auto"/>
          <w:vertAlign w:val="baseline"/>
          <w:rtl w:val="0"/>
          <w:lang w:val="en-US" w:eastAsia="zh-CN"/>
          <w14:textFill>
            <w14:solidFill>
              <w14:schemeClr w14:val="tx1"/>
            </w14:solidFill>
          </w14:textFill>
        </w:rPr>
        <w:t>，完成年初预算的107.36%</w:t>
      </w:r>
      <w:r>
        <w:rPr>
          <w:rFonts w:hint="eastAsia" w:ascii="仿宋" w:hAnsi="仿宋" w:eastAsia="仿宋" w:cs="仿宋_GB2312"/>
          <w:color w:val="000000" w:themeColor="text1"/>
          <w:sz w:val="32"/>
          <w:szCs w:val="32"/>
          <w:lang w:val="en-US" w:eastAsia="zh-CN"/>
          <w14:textFill>
            <w14:solidFill>
              <w14:schemeClr w14:val="tx1"/>
            </w14:solidFill>
          </w14:textFill>
        </w:rPr>
        <w:t>。决算数与年初预算数</w:t>
      </w:r>
      <w:r>
        <w:rPr>
          <w:rFonts w:ascii="仿宋" w:hAnsi="仿宋" w:eastAsia="仿宋" w:cs="仿宋_GB2312"/>
          <w:b w:val="0"/>
          <w:bCs w:val="0"/>
          <w:i w:val="0"/>
          <w:iCs w:val="0"/>
          <w:caps w:val="0"/>
          <w:strike w:val="0"/>
          <w:dstrike w:val="0"/>
          <w:emboss w:val="0"/>
          <w:imprint w:val="0"/>
          <w:vanish w:val="0"/>
          <w:color w:val="000000" w:themeColor="text1"/>
          <w:spacing w:val="0"/>
          <w:w w:val="100"/>
          <w:position w:val="0"/>
          <w:sz w:val="32"/>
          <w:szCs w:val="32"/>
          <w:highlight w:val="none"/>
          <w:u w:val="none"/>
          <w:shd w:val="clear" w:color="auto" w:fill="auto"/>
          <w:vertAlign w:val="baseline"/>
          <w:rtl w:val="0"/>
          <w:lang w:val="en-US" w:eastAsia="zh-CN"/>
          <w14:textFill>
            <w14:solidFill>
              <w14:schemeClr w14:val="tx1"/>
            </w14:solidFill>
          </w14:textFill>
        </w:rPr>
        <w:t>存在差异的主要原因是：</w:t>
      </w:r>
      <w:r>
        <w:rPr>
          <w:rFonts w:hint="eastAsia" w:ascii="仿宋" w:hAnsi="仿宋" w:eastAsia="仿宋" w:cs="仿宋_GB2312"/>
          <w:color w:val="000000" w:themeColor="text1"/>
          <w:sz w:val="32"/>
          <w:szCs w:val="32"/>
          <w:lang w:val="en-US" w:eastAsia="zh-CN"/>
          <w14:textFill>
            <w14:solidFill>
              <w14:schemeClr w14:val="tx1"/>
            </w14:solidFill>
          </w14:textFill>
        </w:rPr>
        <w:t>本年我单位人员增长，社保基数上调。</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_GB2312"/>
          <w:color w:val="000000" w:themeColor="text1"/>
          <w:sz w:val="32"/>
          <w:szCs w:val="32"/>
          <w:lang w:val="en-US" w:eastAsia="zh-CN"/>
          <w14:textFill>
            <w14:solidFill>
              <w14:schemeClr w14:val="tx1"/>
            </w14:solidFill>
          </w14:textFill>
        </w:rPr>
      </w:pPr>
      <w:r>
        <w:rPr>
          <w:rFonts w:hint="eastAsia" w:ascii="仿宋" w:hAnsi="仿宋" w:eastAsia="仿宋" w:cs="仿宋_GB2312"/>
          <w:color w:val="000000" w:themeColor="text1"/>
          <w:sz w:val="32"/>
          <w:szCs w:val="32"/>
          <w:lang w:val="en-US" w:eastAsia="zh-CN"/>
          <w14:textFill>
            <w14:solidFill>
              <w14:schemeClr w14:val="tx1"/>
            </w14:solidFill>
          </w14:textFill>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ascii="仿宋_GB2312" w:eastAsia="仿宋_GB2312"/>
          <w:color w:val="000000" w:themeColor="text1"/>
          <w:sz w:val="32"/>
          <w:szCs w:val="32"/>
          <w:lang w:val="en-US" w:eastAsia="zh-CN"/>
          <w14:textFill>
            <w14:solidFill>
              <w14:schemeClr w14:val="tx1"/>
            </w14:solidFill>
          </w14:textFill>
        </w:rPr>
        <w:t>2024</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年度一般公共预算财政拨款基本支出</w:t>
      </w:r>
      <w:r>
        <w:rPr>
          <w:rFonts w:hint="eastAsia" w:ascii="仿宋_GB2312" w:hAnsi="Times New Roman" w:eastAsia="仿宋_GB2312"/>
          <w:color w:val="000000" w:themeColor="text1"/>
          <w:sz w:val="32"/>
          <w:szCs w:val="32"/>
          <w:lang w:val="en-US" w:eastAsia="zh-CN"/>
          <w14:textFill>
            <w14:solidFill>
              <w14:schemeClr w14:val="tx1"/>
            </w14:solidFill>
          </w14:textFill>
        </w:rPr>
        <w:t>1477.63</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万元。其中：人员经费</w:t>
      </w:r>
      <w:r>
        <w:rPr>
          <w:rFonts w:hint="eastAsia" w:ascii="仿宋_GB2312" w:hAnsi="Times New Roman" w:eastAsia="仿宋_GB2312"/>
          <w:color w:val="000000" w:themeColor="text1"/>
          <w:sz w:val="32"/>
          <w:szCs w:val="32"/>
          <w:lang w:val="en-US" w:eastAsia="zh-CN"/>
          <w14:textFill>
            <w14:solidFill>
              <w14:schemeClr w14:val="tx1"/>
            </w14:solidFill>
          </w14:textFill>
        </w:rPr>
        <w:t>1289.60</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万元，主要包括：基本工资、津贴补贴、奖金、绩效工资、机关事业单位基本养老保险缴费、职工基本医疗保险缴费、其他社会保障缴费、住房公积金、生活补助；公用经费</w:t>
      </w:r>
      <w:r>
        <w:rPr>
          <w:rFonts w:hint="eastAsia" w:ascii="仿宋_GB2312" w:hAnsi="Times New Roman" w:eastAsia="仿宋_GB2312"/>
          <w:color w:val="000000" w:themeColor="text1"/>
          <w:sz w:val="32"/>
          <w:szCs w:val="32"/>
          <w:lang w:val="en-US" w:eastAsia="zh-CN"/>
          <w14:textFill>
            <w14:solidFill>
              <w14:schemeClr w14:val="tx1"/>
            </w14:solidFill>
          </w14:textFill>
        </w:rPr>
        <w:t>188.03</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万元，主要包括：办公费、印刷费、差旅费、公务用车运行维护费、其他交通费用、办公设备购置。</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color w:val="000000" w:themeColor="text1"/>
          <w:sz w:val="32"/>
          <w:szCs w:val="32"/>
          <w:lang w:val="en-US" w:eastAsia="zh-CN"/>
          <w14:textFill>
            <w14:solidFill>
              <w14:schemeClr w14:val="tx1"/>
            </w14:solidFill>
          </w14:textFill>
        </w:rPr>
      </w:pPr>
      <w:r>
        <w:rPr>
          <w:rFonts w:hint="eastAsia" w:ascii="黑体" w:hAnsi="黑体" w:eastAsia="黑体" w:cs="黑体"/>
          <w:color w:val="000000" w:themeColor="text1"/>
          <w:kern w:val="0"/>
          <w:sz w:val="32"/>
          <w:szCs w:val="32"/>
          <w:lang w:val="en-US" w:eastAsia="zh-CN"/>
          <w14:textFill>
            <w14:solidFill>
              <w14:schemeClr w14:val="tx1"/>
            </w14:solidFill>
          </w14:textFill>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我部门2024年没有使用政府性基金预算财政拨款安排的支出。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color w:val="000000" w:themeColor="text1"/>
          <w:sz w:val="32"/>
          <w:szCs w:val="32"/>
          <w:lang w:val="en-US" w:eastAsia="zh-CN"/>
          <w14:textFill>
            <w14:solidFill>
              <w14:schemeClr w14:val="tx1"/>
            </w14:solidFill>
          </w14:textFill>
        </w:rPr>
      </w:pPr>
      <w:r>
        <w:rPr>
          <w:rFonts w:hint="eastAsia" w:ascii="黑体" w:hAnsi="黑体" w:eastAsia="黑体" w:cs="黑体"/>
          <w:color w:val="000000" w:themeColor="text1"/>
          <w:kern w:val="0"/>
          <w:sz w:val="32"/>
          <w:szCs w:val="32"/>
          <w:lang w:val="en-US" w:eastAsia="zh-CN"/>
          <w14:textFill>
            <w14:solidFill>
              <w14:schemeClr w14:val="tx1"/>
            </w14:solidFill>
          </w14:textFill>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我部门2024年没有使用国有资本经营预算财政拨款安排的支出。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color w:val="000000" w:themeColor="text1"/>
          <w:sz w:val="32"/>
          <w:szCs w:val="32"/>
          <w:lang w:val="en-US" w:eastAsia="zh-CN"/>
          <w14:textFill>
            <w14:solidFill>
              <w14:schemeClr w14:val="tx1"/>
            </w14:solidFill>
          </w14:textFill>
        </w:rPr>
      </w:pPr>
      <w:r>
        <w:rPr>
          <w:rFonts w:hint="eastAsia" w:ascii="黑体" w:hAnsi="黑体" w:eastAsia="黑体" w:cs="黑体"/>
          <w:color w:val="000000" w:themeColor="text1"/>
          <w:kern w:val="0"/>
          <w:sz w:val="32"/>
          <w:szCs w:val="32"/>
          <w:lang w:val="en-US" w:eastAsia="zh-CN"/>
          <w14:textFill>
            <w14:solidFill>
              <w14:schemeClr w14:val="tx1"/>
            </w14:solidFill>
          </w14:textFill>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eastAsia" w:ascii="楷体_GB2312" w:hAnsi="楷体_GB2312" w:eastAsia="楷体_GB2312" w:cs="楷体_GB2312"/>
          <w:b/>
          <w:bCs/>
          <w:color w:val="000000" w:themeColor="text1"/>
          <w:sz w:val="32"/>
          <w:szCs w:val="32"/>
          <w:lang w:val="en-US" w:eastAsia="zh-CN"/>
          <w14:textFill>
            <w14:solidFill>
              <w14:schemeClr w14:val="tx1"/>
            </w14:solidFill>
          </w14:textFill>
        </w:rPr>
      </w:pPr>
      <w:r>
        <w:rPr>
          <w:rFonts w:hint="eastAsia" w:ascii="楷体_GB2312" w:hAnsi="楷体_GB2312" w:eastAsia="楷体_GB2312" w:cs="楷体_GB2312"/>
          <w:b/>
          <w:bCs/>
          <w:color w:val="000000" w:themeColor="text1"/>
          <w:sz w:val="32"/>
          <w:szCs w:val="32"/>
          <w:lang w:val="en-US" w:eastAsia="zh-CN"/>
          <w14:textFill>
            <w14:solidFill>
              <w14:schemeClr w14:val="tx1"/>
            </w14:solidFill>
          </w14:textFill>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Times New Roman"/>
          <w:color w:val="000000" w:themeColor="text1"/>
          <w:sz w:val="32"/>
          <w:szCs w:val="32"/>
          <w:lang w:val="en-US" w:eastAsia="zh-CN"/>
          <w14:textFill>
            <w14:solidFill>
              <w14:schemeClr w14:val="tx1"/>
            </w14:solidFill>
          </w14:textFill>
        </w:rPr>
      </w:pPr>
      <w:r>
        <w:rPr>
          <w:rFonts w:ascii="仿宋_GB2312" w:eastAsia="仿宋_GB2312"/>
          <w:color w:val="000000" w:themeColor="text1"/>
          <w:sz w:val="32"/>
          <w:szCs w:val="32"/>
          <w:lang w:val="en-US" w:eastAsia="zh-CN"/>
          <w14:textFill>
            <w14:solidFill>
              <w14:schemeClr w14:val="tx1"/>
            </w14:solidFill>
          </w14:textFill>
        </w:rPr>
        <w:t>2024</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年度一般公共预算财政拨款“三公”经费支出预算为</w:t>
      </w:r>
      <w:r>
        <w:rPr>
          <w:rFonts w:hint="eastAsia" w:ascii="仿宋_GB2312" w:hAnsi="Times New Roman" w:eastAsia="仿宋_GB2312"/>
          <w:color w:val="000000" w:themeColor="text1"/>
          <w:sz w:val="32"/>
          <w:szCs w:val="32"/>
          <w:lang w:val="en-US" w:eastAsia="zh-CN"/>
          <w14:textFill>
            <w14:solidFill>
              <w14:schemeClr w14:val="tx1"/>
            </w14:solidFill>
          </w14:textFill>
        </w:rPr>
        <w:t>35.00</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万元，支出决算为</w:t>
      </w:r>
      <w:r>
        <w:rPr>
          <w:rFonts w:hint="eastAsia" w:ascii="仿宋_GB2312" w:hAnsi="Times New Roman" w:eastAsia="仿宋_GB2312"/>
          <w:color w:val="000000" w:themeColor="text1"/>
          <w:sz w:val="32"/>
          <w:szCs w:val="32"/>
          <w:lang w:val="en-US" w:eastAsia="zh-CN"/>
          <w14:textFill>
            <w14:solidFill>
              <w14:schemeClr w14:val="tx1"/>
            </w14:solidFill>
          </w14:textFill>
        </w:rPr>
        <w:t>33.56</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万元，完成预算的95.87%。</w:t>
      </w:r>
      <w:r>
        <w:rPr>
          <w:rFonts w:hint="eastAsia" w:ascii="仿宋" w:hAnsi="仿宋" w:eastAsia="仿宋" w:cs="Times New Roman"/>
          <w:color w:val="000000" w:themeColor="text1"/>
          <w:sz w:val="32"/>
          <w:szCs w:val="32"/>
          <w:lang w:val="en-US" w:eastAsia="zh-CN"/>
          <w14:textFill>
            <w14:solidFill>
              <w14:schemeClr w14:val="tx1"/>
            </w14:solidFill>
          </w14:textFill>
        </w:rPr>
        <w:t>2024年度一般公共预算财政拨款“三公”经费支出决算数与预算数存在差异的主要原因是：本年单位根据财政要求，压缩三公经费支出。</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eastAsia" w:ascii="楷体_GB2312" w:hAnsi="楷体_GB2312" w:eastAsia="楷体_GB2312" w:cs="楷体_GB2312"/>
          <w:b/>
          <w:bCs/>
          <w:color w:val="000000" w:themeColor="text1"/>
          <w:sz w:val="32"/>
          <w:szCs w:val="32"/>
          <w:lang w:val="en-US" w:eastAsia="zh-CN"/>
          <w14:textFill>
            <w14:solidFill>
              <w14:schemeClr w14:val="tx1"/>
            </w14:solidFill>
          </w14:textFill>
        </w:rPr>
      </w:pPr>
      <w:r>
        <w:rPr>
          <w:rFonts w:hint="eastAsia" w:ascii="楷体_GB2312" w:hAnsi="楷体_GB2312" w:eastAsia="楷体_GB2312" w:cs="楷体_GB2312"/>
          <w:b/>
          <w:bCs/>
          <w:color w:val="000000" w:themeColor="text1"/>
          <w:sz w:val="32"/>
          <w:szCs w:val="32"/>
          <w:lang w:val="en-US" w:eastAsia="zh-CN"/>
          <w14:textFill>
            <w14:solidFill>
              <w14:schemeClr w14:val="tx1"/>
            </w14:solidFill>
          </w14:textFill>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ascii="仿宋_GB2312" w:eastAsia="仿宋_GB2312"/>
          <w:color w:val="000000" w:themeColor="text1"/>
          <w:sz w:val="32"/>
          <w:szCs w:val="32"/>
          <w:lang w:val="en-US" w:eastAsia="zh-CN"/>
          <w14:textFill>
            <w14:solidFill>
              <w14:schemeClr w14:val="tx1"/>
            </w14:solidFill>
          </w14:textFill>
        </w:rPr>
        <w:t>2024</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年度一般公共预算财政拨款“三公”经费支出决算中，因公出国（境）费支出决算</w:t>
      </w:r>
      <w:r>
        <w:rPr>
          <w:rFonts w:hint="eastAsia" w:ascii="仿宋_GB2312" w:hAnsi="Times New Roman" w:eastAsia="仿宋_GB2312"/>
          <w:color w:val="000000" w:themeColor="text1"/>
          <w:sz w:val="32"/>
          <w:szCs w:val="32"/>
          <w:lang w:val="en-US" w:eastAsia="zh-CN"/>
          <w14:textFill>
            <w14:solidFill>
              <w14:schemeClr w14:val="tx1"/>
            </w14:solidFill>
          </w14:textFill>
        </w:rPr>
        <w:t>0.00</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万元，占0.00%；公务用车购置及运行费支出决算</w:t>
      </w:r>
      <w:r>
        <w:rPr>
          <w:rFonts w:hint="eastAsia" w:ascii="仿宋_GB2312" w:hAnsi="Times New Roman" w:eastAsia="仿宋_GB2312"/>
          <w:color w:val="000000" w:themeColor="text1"/>
          <w:sz w:val="32"/>
          <w:szCs w:val="32"/>
          <w:lang w:val="en-US" w:eastAsia="zh-CN"/>
          <w14:textFill>
            <w14:solidFill>
              <w14:schemeClr w14:val="tx1"/>
            </w14:solidFill>
          </w14:textFill>
        </w:rPr>
        <w:t>33.56</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万元，完成预算的95.87%，占100.00%；公务接待费支出决算</w:t>
      </w:r>
      <w:r>
        <w:rPr>
          <w:rFonts w:hint="eastAsia" w:ascii="仿宋_GB2312" w:hAnsi="Times New Roman" w:eastAsia="仿宋_GB2312"/>
          <w:color w:val="000000" w:themeColor="text1"/>
          <w:sz w:val="32"/>
          <w:szCs w:val="32"/>
          <w:lang w:val="en-US" w:eastAsia="zh-CN"/>
          <w14:textFill>
            <w14:solidFill>
              <w14:schemeClr w14:val="tx1"/>
            </w14:solidFill>
          </w14:textFill>
        </w:rPr>
        <w:t>0.00</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1．因公出国（境）费</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2．公务用车购置及运行费</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预算为35.00万元，支出决算为33.56万元，完成预算的95.87%。决算数与预算数存在差异的主要原因是：本年单位根据财政要求，压缩三公经费支出。其中：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公务用车购置支出</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公务用车运行维护支出</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33.56万元。主要用于单位公务用车燃油费，保险费，维修维护费。2024年期末，部门开支财政拨款的公务用车保有量为8辆。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3.公务接待费</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外宾接待支出</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其他国内公务接待支出</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0.00万元。2024年共接待国内来访团组0个、来宾0人次（不包括陪同人员）。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color w:val="000000" w:themeColor="text1"/>
          <w:sz w:val="32"/>
          <w:szCs w:val="32"/>
          <w:lang w:val="en-US" w:eastAsia="zh-CN"/>
          <w14:textFill>
            <w14:solidFill>
              <w14:schemeClr w14:val="tx1"/>
            </w14:solidFill>
          </w14:textFill>
        </w:rPr>
      </w:pPr>
      <w:r>
        <w:rPr>
          <w:rFonts w:hint="eastAsia" w:ascii="黑体" w:hAnsi="黑体" w:eastAsia="黑体" w:cs="黑体"/>
          <w:color w:val="000000" w:themeColor="text1"/>
          <w:kern w:val="0"/>
          <w:sz w:val="32"/>
          <w:szCs w:val="32"/>
          <w:lang w:val="en-US" w:eastAsia="zh-CN"/>
          <w14:textFill>
            <w14:solidFill>
              <w14:schemeClr w14:val="tx1"/>
            </w14:solidFill>
          </w14:textFill>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themeColor="text1"/>
          <w:kern w:val="2"/>
          <w:sz w:val="32"/>
          <w:szCs w:val="32"/>
          <w:lang w:val="en-US" w:eastAsia="zh-CN" w:bidi="ar-SA"/>
          <w14:textFill>
            <w14:solidFill>
              <w14:schemeClr w14:val="tx1"/>
            </w14:solidFill>
          </w14:textFill>
        </w:rPr>
      </w:pPr>
      <w:r>
        <w:rPr>
          <w:rFonts w:hint="eastAsia" w:ascii="仿宋" w:hAnsi="仿宋" w:eastAsia="仿宋" w:cs="仿宋"/>
          <w:snapToGrid/>
          <w:color w:val="000000" w:themeColor="text1"/>
          <w:kern w:val="2"/>
          <w:sz w:val="32"/>
          <w:szCs w:val="32"/>
          <w:lang w:val="en-US" w:eastAsia="zh-CN" w:bidi="ar-SA"/>
          <w14:textFill>
            <w14:solidFill>
              <w14:schemeClr w14:val="tx1"/>
            </w14:solidFill>
          </w14:textFill>
        </w:rPr>
        <w:t>2024年度机关运行经费支出188.03万元，比2023年减少12.28万元，下降6.13%。主要原因是：本年我单位机关运行经费减少。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color w:val="000000" w:themeColor="text1"/>
          <w:sz w:val="32"/>
          <w:szCs w:val="32"/>
          <w:lang w:val="en-US" w:eastAsia="zh-CN"/>
          <w14:textFill>
            <w14:solidFill>
              <w14:schemeClr w14:val="tx1"/>
            </w14:solidFill>
          </w14:textFill>
        </w:rPr>
      </w:pPr>
      <w:r>
        <w:rPr>
          <w:rFonts w:hint="eastAsia" w:ascii="黑体" w:hAnsi="黑体" w:eastAsia="黑体" w:cs="黑体"/>
          <w:color w:val="000000" w:themeColor="text1"/>
          <w:kern w:val="0"/>
          <w:sz w:val="32"/>
          <w:szCs w:val="32"/>
          <w:lang w:val="en-US" w:eastAsia="zh-CN"/>
          <w14:textFill>
            <w14:solidFill>
              <w14:schemeClr w14:val="tx1"/>
            </w14:solidFill>
          </w14:textFill>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ascii="仿宋_GB2312" w:hAnsi="Times New Roman" w:eastAsia="仿宋_GB2312" w:cs="Times New Roman"/>
          <w:color w:val="000000" w:themeColor="text1"/>
          <w:sz w:val="32"/>
          <w:szCs w:val="32"/>
          <w:lang w:val="en-US" w:eastAsia="zh-CN"/>
          <w14:textFill>
            <w14:solidFill>
              <w14:schemeClr w14:val="tx1"/>
            </w14:solidFill>
          </w14:textFill>
        </w:rPr>
        <w:t>2024</w:t>
      </w:r>
      <w:r>
        <w:rPr>
          <w:rFonts w:hint="eastAsia" w:ascii="仿宋_GB2312" w:hAnsi="Times New Roman" w:eastAsia="仿宋_GB2312" w:cs="Times New Roman"/>
          <w:color w:val="000000" w:themeColor="text1"/>
          <w:sz w:val="32"/>
          <w:szCs w:val="32"/>
          <w:lang w:val="en-US" w:eastAsia="zh-CN"/>
          <w14:textFill>
            <w14:solidFill>
              <w14:schemeClr w14:val="tx1"/>
            </w14:solidFill>
          </w14:textFill>
        </w:rPr>
        <w:t>年度政府采购支出总额29.00万元，其中：政府采购货物支出29.00万元、政府采购工程支出0.00万元、政府采购服务支出0.00万元。授予中小企业合同金额29.00万元，占政府采购支出总额的100.00%，其中：授予小微企业合同金额29.00万元，占授予中小</w:t>
      </w:r>
      <w:r>
        <w:rPr>
          <w:rFonts w:ascii="仿宋_GB2312" w:hAnsi="Times New Roman" w:eastAsia="仿宋_GB2312" w:cs="Times New Roman"/>
          <w:color w:val="000000" w:themeColor="text1"/>
          <w:sz w:val="32"/>
          <w:szCs w:val="32"/>
          <w:lang w:val="en-US" w:eastAsia="zh-CN"/>
          <w14:textFill>
            <w14:solidFill>
              <w14:schemeClr w14:val="tx1"/>
            </w14:solidFill>
          </w14:textFill>
        </w:rPr>
        <w:t>企业合同金额</w:t>
      </w:r>
      <w:r>
        <w:rPr>
          <w:rFonts w:hint="eastAsia" w:ascii="仿宋_GB2312" w:hAnsi="Times New Roman" w:eastAsia="仿宋_GB2312" w:cs="Times New Roman"/>
          <w:color w:val="000000" w:themeColor="text1"/>
          <w:sz w:val="32"/>
          <w:szCs w:val="32"/>
          <w:lang w:val="en-US" w:eastAsia="zh-CN"/>
          <w14:textFill>
            <w14:solidFill>
              <w14:schemeClr w14:val="tx1"/>
            </w14:solidFill>
          </w14:textFill>
        </w:rPr>
        <w:t>的100.00%。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color w:val="000000" w:themeColor="text1"/>
          <w:sz w:val="32"/>
          <w:szCs w:val="32"/>
          <w:lang w:val="en-US" w:eastAsia="zh-CN"/>
          <w14:textFill>
            <w14:solidFill>
              <w14:schemeClr w14:val="tx1"/>
            </w14:solidFill>
          </w14:textFill>
        </w:rPr>
      </w:pPr>
      <w:r>
        <w:rPr>
          <w:rFonts w:hint="eastAsia" w:ascii="黑体" w:hAnsi="黑体" w:eastAsia="黑体" w:cs="黑体"/>
          <w:color w:val="000000" w:themeColor="text1"/>
          <w:kern w:val="0"/>
          <w:sz w:val="32"/>
          <w:szCs w:val="32"/>
          <w:lang w:val="en-US" w:eastAsia="zh-CN"/>
          <w14:textFill>
            <w14:solidFill>
              <w14:schemeClr w14:val="tx1"/>
            </w14:solidFill>
          </w14:textFill>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ascii="仿宋_GB2312" w:eastAsia="仿宋_GB2312"/>
          <w:color w:val="000000" w:themeColor="text1"/>
          <w:sz w:val="32"/>
          <w:szCs w:val="32"/>
          <w:lang w:val="en-US" w:eastAsia="zh-CN"/>
          <w14:textFill>
            <w14:solidFill>
              <w14:schemeClr w14:val="tx1"/>
            </w14:solidFill>
          </w14:textFill>
        </w:rPr>
        <w:t>2</w:t>
      </w:r>
      <w:r>
        <w:rPr>
          <w:rFonts w:hint="eastAsia" w:ascii="仿宋_GB2312" w:hAnsi="Times New Roman" w:eastAsia="仿宋_GB2312" w:cs="Times New Roman"/>
          <w:color w:val="000000" w:themeColor="text1"/>
          <w:sz w:val="32"/>
          <w:szCs w:val="32"/>
          <w:lang w:val="en-US" w:eastAsia="zh-CN"/>
          <w14:textFill>
            <w14:solidFill>
              <w14:schemeClr w14:val="tx1"/>
            </w14:solidFill>
          </w14:textFill>
        </w:rPr>
        <w:t>024年期末，我部门共有车辆8辆，其中：省级领导干部用车0辆、主要领导干部用车0辆、机要通信用车0辆、应急保障车0辆、执法执勤用车8辆、特种专业技术用车0辆、离退休干部用车0辆、其他用车0辆；单位价值100万元（含）以上设备0台（套）</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color w:val="000000" w:themeColor="text1"/>
          <w:sz w:val="32"/>
          <w:szCs w:val="32"/>
          <w:lang w:val="en-US" w:eastAsia="zh-CN"/>
          <w14:textFill>
            <w14:solidFill>
              <w14:schemeClr w14:val="tx1"/>
            </w14:solidFill>
          </w14:textFill>
        </w:rPr>
      </w:pPr>
      <w:r>
        <w:rPr>
          <w:rFonts w:hint="eastAsia" w:ascii="黑体" w:hAnsi="黑体" w:eastAsia="黑体" w:cs="黑体"/>
          <w:color w:val="000000" w:themeColor="text1"/>
          <w:kern w:val="0"/>
          <w:sz w:val="32"/>
          <w:szCs w:val="32"/>
          <w:lang w:val="en-US" w:eastAsia="zh-CN"/>
          <w14:textFill>
            <w14:solidFill>
              <w14:schemeClr w14:val="tx1"/>
            </w14:solidFill>
          </w14:textFill>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hint="default" w:ascii="楷体_GB2312" w:hAnsi="楷体_GB2312" w:eastAsia="楷体_GB2312" w:cs="楷体_GB2312"/>
          <w:b/>
          <w:bCs/>
          <w:color w:val="000000" w:themeColor="text1"/>
          <w:sz w:val="32"/>
          <w:szCs w:val="32"/>
          <w:lang w:val="en-US" w:eastAsia="zh-CN"/>
          <w14:textFill>
            <w14:solidFill>
              <w14:schemeClr w14:val="tx1"/>
            </w14:solidFill>
          </w14:textFill>
        </w:rPr>
      </w:pPr>
      <w:r>
        <w:rPr>
          <w:rFonts w:hint="eastAsia" w:ascii="楷体_GB2312" w:hAnsi="楷体_GB2312" w:eastAsia="楷体_GB2312" w:cs="楷体_GB2312"/>
          <w:b/>
          <w:bCs/>
          <w:color w:val="000000" w:themeColor="text1"/>
          <w:sz w:val="32"/>
          <w:szCs w:val="32"/>
          <w:lang w:val="en-US" w:eastAsia="zh-CN"/>
          <w14:textFill>
            <w14:solidFill>
              <w14:schemeClr w14:val="tx1"/>
            </w14:solidFill>
          </w14:textFill>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color w:val="000000" w:themeColor="text1"/>
          <w:sz w:val="32"/>
          <w:szCs w:val="32"/>
          <w:lang w:val="en-US" w:eastAsia="zh-CN"/>
          <w14:textFill>
            <w14:solidFill>
              <w14:schemeClr w14:val="tx1"/>
            </w14:solidFill>
          </w14:textFill>
        </w:rPr>
      </w:pPr>
      <w:r>
        <w:rPr>
          <w:rFonts w:hint="eastAsia" w:ascii="仿宋" w:hAnsi="仿宋" w:eastAsia="仿宋" w:cs="仿宋"/>
          <w:color w:val="000000" w:themeColor="text1"/>
          <w:kern w:val="2"/>
          <w:sz w:val="32"/>
          <w:szCs w:val="32"/>
          <w:lang w:val="en-US" w:eastAsia="zh-CN"/>
          <w14:textFill>
            <w14:solidFill>
              <w14:schemeClr w14:val="tx1"/>
            </w14:solidFill>
          </w14:textFill>
        </w:rPr>
        <w:t>2024年我部门高度重视绩效管理工作。强化绩效目标管理，对</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18</w:t>
      </w:r>
      <w:r>
        <w:rPr>
          <w:rFonts w:hint="eastAsia" w:ascii="仿宋" w:hAnsi="仿宋" w:eastAsia="仿宋" w:cs="仿宋"/>
          <w:color w:val="000000" w:themeColor="text1"/>
          <w:kern w:val="2"/>
          <w:sz w:val="32"/>
          <w:szCs w:val="32"/>
          <w:lang w:val="en-US" w:eastAsia="zh-CN"/>
          <w14:textFill>
            <w14:solidFill>
              <w14:schemeClr w14:val="tx1"/>
            </w14:solidFill>
          </w14:textFill>
        </w:rPr>
        <w:t>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18</w:t>
      </w:r>
      <w:r>
        <w:rPr>
          <w:rFonts w:hint="eastAsia" w:ascii="仿宋" w:hAnsi="仿宋" w:eastAsia="仿宋" w:cs="仿宋"/>
          <w:color w:val="000000" w:themeColor="text1"/>
          <w:kern w:val="2"/>
          <w:sz w:val="32"/>
          <w:szCs w:val="32"/>
          <w:lang w:val="en-US" w:eastAsia="zh-CN"/>
          <w14:textFill>
            <w14:solidFill>
              <w14:schemeClr w14:val="tx1"/>
            </w14:solidFill>
          </w14:textFill>
        </w:rPr>
        <w:t>个项目开展了绩效自评，涉及项目资金</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1909.14</w:t>
      </w:r>
      <w:r>
        <w:rPr>
          <w:rFonts w:hint="eastAsia" w:ascii="仿宋" w:hAnsi="仿宋" w:eastAsia="仿宋" w:cs="仿宋"/>
          <w:color w:val="000000" w:themeColor="text1"/>
          <w:kern w:val="2"/>
          <w:sz w:val="32"/>
          <w:szCs w:val="32"/>
          <w:lang w:val="en-US" w:eastAsia="zh-CN"/>
          <w14:textFill>
            <w14:solidFill>
              <w14:schemeClr w14:val="tx1"/>
            </w14:solidFill>
          </w14:textFill>
        </w:rPr>
        <w:t>万元，逐步提高绩效自评质量。注重结果应用，将评价结果作为改进预算管理、资金分配和预算安排的重要依据。</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color w:val="000000" w:themeColor="text1"/>
          <w:sz w:val="32"/>
          <w:szCs w:val="32"/>
          <w:lang w:val="en-US" w:eastAsia="zh-CN"/>
          <w14:textFill>
            <w14:solidFill>
              <w14:schemeClr w14:val="tx1"/>
            </w14:solidFill>
          </w14:textFill>
        </w:rPr>
      </w:pPr>
      <w:r>
        <w:rPr>
          <w:rFonts w:hint="eastAsia" w:ascii="楷体_GB2312" w:hAnsi="楷体_GB2312" w:eastAsia="楷体_GB2312" w:cs="楷体_GB2312"/>
          <w:b/>
          <w:bCs/>
          <w:color w:val="000000" w:themeColor="text1"/>
          <w:sz w:val="32"/>
          <w:szCs w:val="32"/>
          <w:lang w:val="en-US" w:eastAsia="zh-CN"/>
          <w14:textFill>
            <w14:solidFill>
              <w14:schemeClr w14:val="tx1"/>
            </w14:solidFill>
          </w14:textFill>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color w:val="000000" w:themeColor="text1"/>
          <w:kern w:val="2"/>
          <w:sz w:val="32"/>
          <w:szCs w:val="32"/>
          <w:lang w:val="en-US" w:eastAsia="zh-CN"/>
          <w14:textFill>
            <w14:solidFill>
              <w14:schemeClr w14:val="tx1"/>
            </w14:solidFill>
          </w14:textFill>
        </w:rPr>
      </w:pPr>
      <w:r>
        <w:rPr>
          <w:rFonts w:hint="eastAsia" w:ascii="仿宋" w:hAnsi="仿宋" w:eastAsia="仿宋" w:cs="仿宋"/>
          <w:color w:val="000000" w:themeColor="text1"/>
          <w:kern w:val="2"/>
          <w:sz w:val="32"/>
          <w:szCs w:val="32"/>
          <w:lang w:val="en-US" w:eastAsia="zh-CN"/>
          <w14:textFill>
            <w14:solidFill>
              <w14:schemeClr w14:val="tx1"/>
            </w14:solidFill>
          </w14:textFill>
        </w:rPr>
        <w:t>我部门对2024年度</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18</w:t>
      </w:r>
      <w:r>
        <w:rPr>
          <w:rFonts w:hint="eastAsia" w:ascii="仿宋" w:hAnsi="仿宋" w:eastAsia="仿宋" w:cs="仿宋"/>
          <w:color w:val="000000" w:themeColor="text1"/>
          <w:kern w:val="2"/>
          <w:sz w:val="32"/>
          <w:szCs w:val="32"/>
          <w:lang w:val="en-US" w:eastAsia="zh-CN"/>
          <w14:textFill>
            <w14:solidFill>
              <w14:schemeClr w14:val="tx1"/>
            </w14:solidFill>
          </w14:textFill>
        </w:rPr>
        <w:t>个项目支出进行了绩效自评，绩效自评平均得分</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98.54</w:t>
      </w:r>
      <w:r>
        <w:rPr>
          <w:rFonts w:hint="eastAsia" w:ascii="仿宋" w:hAnsi="仿宋" w:eastAsia="仿宋" w:cs="仿宋"/>
          <w:color w:val="000000" w:themeColor="text1"/>
          <w:kern w:val="2"/>
          <w:sz w:val="32"/>
          <w:szCs w:val="32"/>
          <w:lang w:val="en-US" w:eastAsia="zh-CN"/>
          <w14:textFill>
            <w14:solidFill>
              <w14:schemeClr w14:val="tx1"/>
            </w14:solidFill>
          </w14:textFill>
        </w:rPr>
        <w:t>分。其中：自评结果</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18</w:t>
      </w:r>
      <w:r>
        <w:rPr>
          <w:rFonts w:hint="eastAsia" w:ascii="仿宋" w:hAnsi="仿宋" w:eastAsia="仿宋" w:cs="仿宋"/>
          <w:color w:val="000000" w:themeColor="text1"/>
          <w:kern w:val="2"/>
          <w:sz w:val="32"/>
          <w:szCs w:val="32"/>
          <w:lang w:val="en-US" w:eastAsia="zh-CN"/>
          <w14:textFill>
            <w14:solidFill>
              <w14:schemeClr w14:val="tx1"/>
            </w14:solidFill>
          </w14:textFill>
        </w:rPr>
        <w:t>个为优，</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0</w:t>
      </w:r>
      <w:r>
        <w:rPr>
          <w:rFonts w:hint="eastAsia" w:ascii="仿宋" w:hAnsi="仿宋" w:eastAsia="仿宋" w:cs="仿宋"/>
          <w:color w:val="000000" w:themeColor="text1"/>
          <w:kern w:val="2"/>
          <w:sz w:val="32"/>
          <w:szCs w:val="32"/>
          <w:lang w:val="en-US" w:eastAsia="zh-CN"/>
          <w14:textFill>
            <w14:solidFill>
              <w14:schemeClr w14:val="tx1"/>
            </w14:solidFill>
          </w14:textFill>
        </w:rPr>
        <w:t>个为良，</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0</w:t>
      </w:r>
      <w:r>
        <w:rPr>
          <w:rFonts w:hint="eastAsia" w:ascii="仿宋" w:hAnsi="仿宋" w:eastAsia="仿宋" w:cs="仿宋"/>
          <w:color w:val="000000" w:themeColor="text1"/>
          <w:kern w:val="2"/>
          <w:sz w:val="32"/>
          <w:szCs w:val="32"/>
          <w:lang w:val="en-US" w:eastAsia="zh-CN"/>
          <w14:textFill>
            <w14:solidFill>
              <w14:schemeClr w14:val="tx1"/>
            </w14:solidFill>
          </w14:textFill>
        </w:rPr>
        <w:t>个为中，</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0</w:t>
      </w:r>
      <w:r>
        <w:rPr>
          <w:rFonts w:hint="eastAsia" w:ascii="仿宋" w:hAnsi="仿宋" w:eastAsia="仿宋" w:cs="仿宋"/>
          <w:color w:val="000000" w:themeColor="text1"/>
          <w:kern w:val="2"/>
          <w:sz w:val="32"/>
          <w:szCs w:val="32"/>
          <w:lang w:val="en-US" w:eastAsia="zh-CN"/>
          <w14:textFill>
            <w14:solidFill>
              <w14:schemeClr w14:val="tx1"/>
            </w14:solidFill>
          </w14:textFill>
        </w:rPr>
        <w:t>个为差。从自评情况看，项目支出绩效管理的重视程度进一步提升，项目总体执行和完成情况较好，资金使用比较规范。</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color w:val="000000" w:themeColor="text1"/>
          <w:kern w:val="2"/>
          <w:sz w:val="32"/>
          <w:szCs w:val="32"/>
          <w:lang w:val="en-US" w:eastAsia="zh-CN"/>
          <w14:textFill>
            <w14:solidFill>
              <w14:schemeClr w14:val="tx1"/>
            </w14:solidFill>
          </w14:textFill>
        </w:rPr>
        <w:sectPr>
          <w:pgSz w:w="11906" w:h="16838"/>
          <w:pgMar w:top="1440" w:right="1803" w:bottom="1440" w:left="1803" w:header="850" w:footer="992" w:gutter="0"/>
          <w:pgNumType w:fmt="numberInDash"/>
          <w:cols w:space="720" w:num="1"/>
          <w:docGrid w:type="lines" w:linePitch="317" w:charSpace="0"/>
        </w:sectPr>
      </w:pPr>
    </w:p>
    <w:tbl>
      <w:tblPr>
        <w:tblStyle w:val="2"/>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964"/>
        <w:gridCol w:w="514"/>
        <w:gridCol w:w="954"/>
        <w:gridCol w:w="437"/>
        <w:gridCol w:w="1081"/>
        <w:gridCol w:w="782"/>
        <w:gridCol w:w="418"/>
        <w:gridCol w:w="1355"/>
        <w:gridCol w:w="1368"/>
        <w:gridCol w:w="1575"/>
        <w:gridCol w:w="707"/>
        <w:gridCol w:w="868"/>
        <w:gridCol w:w="192"/>
        <w:gridCol w:w="1157"/>
        <w:gridCol w:w="225"/>
        <w:gridCol w:w="157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5000" w:type="pct"/>
            <w:gridSpan w:val="16"/>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 xml:space="preserve">项目支出绩效自评情况表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9" w:hRule="atLeast"/>
        </w:trPr>
        <w:tc>
          <w:tcPr>
            <w:tcW w:w="5000" w:type="pct"/>
            <w:gridSpan w:val="16"/>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2025年8月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857"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项目名称</w:t>
            </w:r>
          </w:p>
        </w:tc>
        <w:tc>
          <w:tcPr>
            <w:tcW w:w="4142" w:type="pct"/>
            <w:gridSpan w:val="13"/>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202</w:t>
            </w:r>
            <w:r>
              <w:rPr>
                <w:rFonts w:hint="eastAsia" w:ascii="宋体" w:hAnsi="宋体" w:cs="宋体"/>
                <w:i w:val="0"/>
                <w:iCs w:val="0"/>
                <w:color w:val="000000" w:themeColor="text1"/>
                <w:kern w:val="0"/>
                <w:sz w:val="18"/>
                <w:szCs w:val="18"/>
                <w:u w:val="none"/>
                <w:lang w:val="en-US" w:eastAsia="zh-CN" w:bidi="ar"/>
                <w14:textFill>
                  <w14:solidFill>
                    <w14:schemeClr w14:val="tx1"/>
                  </w14:solidFill>
                </w14:textFill>
              </w:rPr>
              <w:t>4</w:t>
            </w: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纪检监察业务经费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857"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主管部门</w:t>
            </w:r>
          </w:p>
        </w:tc>
        <w:tc>
          <w:tcPr>
            <w:tcW w:w="1436" w:type="pct"/>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中共郸城县纪律检查委员会</w:t>
            </w:r>
          </w:p>
        </w:tc>
        <w:tc>
          <w:tcPr>
            <w:tcW w:w="1287"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实施单位</w:t>
            </w:r>
          </w:p>
        </w:tc>
        <w:tc>
          <w:tcPr>
            <w:tcW w:w="1417" w:type="pct"/>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中共郸城县纪律检查委员会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34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项目资金                (万元)</w:t>
            </w:r>
          </w:p>
        </w:tc>
        <w:tc>
          <w:tcPr>
            <w:tcW w:w="51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53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年初预算数</w:t>
            </w:r>
          </w:p>
        </w:tc>
        <w:tc>
          <w:tcPr>
            <w:tcW w:w="901"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全年预算数</w:t>
            </w:r>
          </w:p>
        </w:tc>
        <w:tc>
          <w:tcPr>
            <w:tcW w:w="1287"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全年执行数</w:t>
            </w:r>
          </w:p>
        </w:tc>
        <w:tc>
          <w:tcPr>
            <w:tcW w:w="37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分值</w:t>
            </w:r>
          </w:p>
        </w:tc>
        <w:tc>
          <w:tcPr>
            <w:tcW w:w="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执行率</w:t>
            </w:r>
          </w:p>
        </w:tc>
        <w:tc>
          <w:tcPr>
            <w:tcW w:w="63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51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Style w:val="18"/>
                <w:color w:val="000000" w:themeColor="text1"/>
                <w:sz w:val="18"/>
                <w:szCs w:val="18"/>
                <w:lang w:val="en-US" w:eastAsia="zh-CN" w:bidi="ar"/>
                <w14:textFill>
                  <w14:solidFill>
                    <w14:schemeClr w14:val="tx1"/>
                  </w14:solidFill>
                </w14:textFill>
              </w:rPr>
              <w:t xml:space="preserve"> </w:t>
            </w:r>
            <w:r>
              <w:rPr>
                <w:rStyle w:val="22"/>
                <w:color w:val="000000" w:themeColor="text1"/>
                <w:sz w:val="18"/>
                <w:szCs w:val="18"/>
                <w:lang w:val="en-US" w:eastAsia="zh-CN" w:bidi="ar"/>
                <w14:textFill>
                  <w14:solidFill>
                    <w14:schemeClr w14:val="tx1"/>
                  </w14:solidFill>
                </w14:textFill>
              </w:rPr>
              <w:t xml:space="preserve"> 年度资金总额：</w:t>
            </w:r>
          </w:p>
        </w:tc>
        <w:tc>
          <w:tcPr>
            <w:tcW w:w="53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themeColor="text1"/>
                <w:sz w:val="18"/>
                <w:szCs w:val="18"/>
                <w:u w:val="none"/>
                <w:lang w:val="en-US"/>
                <w14:textFill>
                  <w14:solidFill>
                    <w14:schemeClr w14:val="tx1"/>
                  </w14:solidFill>
                </w14:textFill>
              </w:rPr>
            </w:pPr>
            <w:r>
              <w:rPr>
                <w:rFonts w:hint="eastAsia" w:ascii="宋体" w:hAnsi="宋体" w:eastAsia="宋体" w:cs="宋体"/>
                <w:i w:val="0"/>
                <w:iCs w:val="0"/>
                <w:color w:val="000000" w:themeColor="text1"/>
                <w:sz w:val="18"/>
                <w:szCs w:val="18"/>
                <w:u w:val="none"/>
                <w:lang w:val="en-US" w:eastAsia="zh-CN"/>
                <w14:textFill>
                  <w14:solidFill>
                    <w14:schemeClr w14:val="tx1"/>
                  </w14:solidFill>
                </w14:textFill>
              </w:rPr>
              <w:t>416.86</w:t>
            </w:r>
          </w:p>
        </w:tc>
        <w:tc>
          <w:tcPr>
            <w:tcW w:w="901"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themeColor="text1"/>
                <w:sz w:val="18"/>
                <w:szCs w:val="18"/>
                <w:u w:val="none"/>
                <w:lang w:val="en-US" w:eastAsia="zh-CN"/>
                <w14:textFill>
                  <w14:solidFill>
                    <w14:schemeClr w14:val="tx1"/>
                  </w14:solidFill>
                </w14:textFill>
              </w:rPr>
            </w:pPr>
            <w:r>
              <w:rPr>
                <w:rFonts w:hint="eastAsia" w:ascii="宋体" w:hAnsi="宋体" w:eastAsia="宋体" w:cs="宋体"/>
                <w:i w:val="0"/>
                <w:iCs w:val="0"/>
                <w:color w:val="000000" w:themeColor="text1"/>
                <w:sz w:val="18"/>
                <w:szCs w:val="18"/>
                <w:u w:val="none"/>
                <w:lang w:val="en-US" w:eastAsia="zh-CN"/>
                <w14:textFill>
                  <w14:solidFill>
                    <w14:schemeClr w14:val="tx1"/>
                  </w14:solidFill>
                </w14:textFill>
              </w:rPr>
              <w:t>416.86</w:t>
            </w:r>
          </w:p>
        </w:tc>
        <w:tc>
          <w:tcPr>
            <w:tcW w:w="1287"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sz w:val="18"/>
                <w:szCs w:val="18"/>
                <w:u w:val="none"/>
                <w:lang w:val="en-US" w:eastAsia="zh-CN"/>
                <w14:textFill>
                  <w14:solidFill>
                    <w14:schemeClr w14:val="tx1"/>
                  </w14:solidFill>
                </w14:textFill>
              </w:rPr>
              <w:t>416.86</w:t>
            </w:r>
          </w:p>
        </w:tc>
        <w:tc>
          <w:tcPr>
            <w:tcW w:w="37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10</w:t>
            </w:r>
          </w:p>
        </w:tc>
        <w:tc>
          <w:tcPr>
            <w:tcW w:w="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84.39 %</w:t>
            </w:r>
          </w:p>
        </w:tc>
        <w:tc>
          <w:tcPr>
            <w:tcW w:w="63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8.44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51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财政拨款</w:t>
            </w:r>
          </w:p>
        </w:tc>
        <w:tc>
          <w:tcPr>
            <w:tcW w:w="53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sz w:val="18"/>
                <w:szCs w:val="18"/>
                <w:u w:val="none"/>
                <w:lang w:val="en-US" w:eastAsia="zh-CN"/>
                <w14:textFill>
                  <w14:solidFill>
                    <w14:schemeClr w14:val="tx1"/>
                  </w14:solidFill>
                </w14:textFill>
              </w:rPr>
              <w:t>416.86</w:t>
            </w:r>
          </w:p>
        </w:tc>
        <w:tc>
          <w:tcPr>
            <w:tcW w:w="901"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sz w:val="18"/>
                <w:szCs w:val="18"/>
                <w:u w:val="none"/>
                <w:lang w:val="en-US" w:eastAsia="zh-CN"/>
                <w14:textFill>
                  <w14:solidFill>
                    <w14:schemeClr w14:val="tx1"/>
                  </w14:solidFill>
                </w14:textFill>
              </w:rPr>
              <w:t>416.86</w:t>
            </w:r>
          </w:p>
        </w:tc>
        <w:tc>
          <w:tcPr>
            <w:tcW w:w="1287"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sz w:val="18"/>
                <w:szCs w:val="18"/>
                <w:u w:val="none"/>
                <w:lang w:val="en-US" w:eastAsia="zh-CN"/>
                <w14:textFill>
                  <w14:solidFill>
                    <w14:schemeClr w14:val="tx1"/>
                  </w14:solidFill>
                </w14:textFill>
              </w:rPr>
              <w:t>416.86</w:t>
            </w:r>
          </w:p>
        </w:tc>
        <w:tc>
          <w:tcPr>
            <w:tcW w:w="37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w:t>
            </w:r>
          </w:p>
        </w:tc>
        <w:tc>
          <w:tcPr>
            <w:tcW w:w="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84.39 %</w:t>
            </w:r>
          </w:p>
        </w:tc>
        <w:tc>
          <w:tcPr>
            <w:tcW w:w="63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51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财政专户管理资金</w:t>
            </w:r>
          </w:p>
        </w:tc>
        <w:tc>
          <w:tcPr>
            <w:tcW w:w="53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0</w:t>
            </w:r>
          </w:p>
        </w:tc>
        <w:tc>
          <w:tcPr>
            <w:tcW w:w="901"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0</w:t>
            </w:r>
          </w:p>
        </w:tc>
        <w:tc>
          <w:tcPr>
            <w:tcW w:w="1287"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0</w:t>
            </w:r>
          </w:p>
        </w:tc>
        <w:tc>
          <w:tcPr>
            <w:tcW w:w="37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w:t>
            </w:r>
          </w:p>
        </w:tc>
        <w:tc>
          <w:tcPr>
            <w:tcW w:w="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0.00%</w:t>
            </w:r>
          </w:p>
        </w:tc>
        <w:tc>
          <w:tcPr>
            <w:tcW w:w="63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51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单位资金</w:t>
            </w:r>
          </w:p>
        </w:tc>
        <w:tc>
          <w:tcPr>
            <w:tcW w:w="53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0</w:t>
            </w:r>
          </w:p>
        </w:tc>
        <w:tc>
          <w:tcPr>
            <w:tcW w:w="901"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0</w:t>
            </w:r>
          </w:p>
        </w:tc>
        <w:tc>
          <w:tcPr>
            <w:tcW w:w="1287"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0</w:t>
            </w:r>
          </w:p>
        </w:tc>
        <w:tc>
          <w:tcPr>
            <w:tcW w:w="37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w:t>
            </w:r>
          </w:p>
        </w:tc>
        <w:tc>
          <w:tcPr>
            <w:tcW w:w="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0.00%</w:t>
            </w:r>
          </w:p>
        </w:tc>
        <w:tc>
          <w:tcPr>
            <w:tcW w:w="63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34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资金管理情况</w:t>
            </w:r>
          </w:p>
        </w:tc>
        <w:tc>
          <w:tcPr>
            <w:tcW w:w="1329" w:type="pct"/>
            <w:gridSpan w:val="5"/>
            <w:tcBorders>
              <w:top w:val="single" w:color="000000" w:sz="4" w:space="0"/>
              <w:left w:val="nil"/>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1912" w:type="pct"/>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情况说明</w:t>
            </w:r>
          </w:p>
        </w:tc>
        <w:tc>
          <w:tcPr>
            <w:tcW w:w="37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分值（20）</w:t>
            </w:r>
          </w:p>
        </w:tc>
        <w:tc>
          <w:tcPr>
            <w:tcW w:w="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得分</w:t>
            </w:r>
          </w:p>
        </w:tc>
        <w:tc>
          <w:tcPr>
            <w:tcW w:w="635" w:type="pct"/>
            <w:gridSpan w:val="2"/>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1329" w:type="pct"/>
            <w:gridSpan w:val="5"/>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安排科学性</w:t>
            </w:r>
          </w:p>
        </w:tc>
        <w:tc>
          <w:tcPr>
            <w:tcW w:w="1912" w:type="pct"/>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从完整性、规范性、合理性进行审核，严格绩效管理，提升资金安排科学性。</w:t>
            </w:r>
          </w:p>
        </w:tc>
        <w:tc>
          <w:tcPr>
            <w:tcW w:w="37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5</w:t>
            </w:r>
          </w:p>
        </w:tc>
        <w:tc>
          <w:tcPr>
            <w:tcW w:w="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5</w:t>
            </w:r>
          </w:p>
        </w:tc>
        <w:tc>
          <w:tcPr>
            <w:tcW w:w="635" w:type="pct"/>
            <w:gridSpan w:val="2"/>
            <w:tcBorders>
              <w:top w:val="single" w:color="000000" w:sz="4" w:space="0"/>
              <w:left w:val="nil"/>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1329" w:type="pct"/>
            <w:gridSpan w:val="5"/>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拨付合规性</w:t>
            </w:r>
          </w:p>
        </w:tc>
        <w:tc>
          <w:tcPr>
            <w:tcW w:w="1912" w:type="pct"/>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严格按照财务管理制度的要求支出，资金的拨付有完整的审批程序和手续，符合项目预算批复或合同规定的用途。</w:t>
            </w:r>
          </w:p>
        </w:tc>
        <w:tc>
          <w:tcPr>
            <w:tcW w:w="37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5</w:t>
            </w:r>
          </w:p>
        </w:tc>
        <w:tc>
          <w:tcPr>
            <w:tcW w:w="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5</w:t>
            </w:r>
          </w:p>
        </w:tc>
        <w:tc>
          <w:tcPr>
            <w:tcW w:w="635" w:type="pct"/>
            <w:gridSpan w:val="2"/>
            <w:tcBorders>
              <w:top w:val="single" w:color="000000" w:sz="4" w:space="0"/>
              <w:left w:val="nil"/>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1329" w:type="pct"/>
            <w:gridSpan w:val="5"/>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使用规范性</w:t>
            </w:r>
          </w:p>
        </w:tc>
        <w:tc>
          <w:tcPr>
            <w:tcW w:w="1912" w:type="pct"/>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无超标列支相关费用，专款专用，不存在截留、挤占、挪用、虚列支出等情况，票据合法合规，财务票证资料较齐全并及时归  档。</w:t>
            </w:r>
          </w:p>
        </w:tc>
        <w:tc>
          <w:tcPr>
            <w:tcW w:w="37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5</w:t>
            </w:r>
          </w:p>
        </w:tc>
        <w:tc>
          <w:tcPr>
            <w:tcW w:w="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5</w:t>
            </w:r>
          </w:p>
        </w:tc>
        <w:tc>
          <w:tcPr>
            <w:tcW w:w="635" w:type="pct"/>
            <w:gridSpan w:val="2"/>
            <w:tcBorders>
              <w:top w:val="single" w:color="000000" w:sz="4" w:space="0"/>
              <w:left w:val="nil"/>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1329" w:type="pct"/>
            <w:gridSpan w:val="5"/>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预算绩效管理情况</w:t>
            </w:r>
          </w:p>
        </w:tc>
        <w:tc>
          <w:tcPr>
            <w:tcW w:w="1912" w:type="pct"/>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推动建立定期分析制度，强化绩效管理入脑入心，督促调整和完善改进，不断推进我院绩效管理工作全面落实，保障项目的高  效开展。</w:t>
            </w:r>
          </w:p>
        </w:tc>
        <w:tc>
          <w:tcPr>
            <w:tcW w:w="37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5</w:t>
            </w:r>
          </w:p>
        </w:tc>
        <w:tc>
          <w:tcPr>
            <w:tcW w:w="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5</w:t>
            </w:r>
          </w:p>
        </w:tc>
        <w:tc>
          <w:tcPr>
            <w:tcW w:w="635" w:type="pct"/>
            <w:gridSpan w:val="2"/>
            <w:tcBorders>
              <w:top w:val="single" w:color="000000" w:sz="4" w:space="0"/>
              <w:left w:val="nil"/>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5" w:hRule="atLeast"/>
        </w:trPr>
        <w:tc>
          <w:tcPr>
            <w:tcW w:w="34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年度总体目标</w:t>
            </w:r>
          </w:p>
        </w:tc>
        <w:tc>
          <w:tcPr>
            <w:tcW w:w="1954"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预期目标</w:t>
            </w:r>
          </w:p>
        </w:tc>
        <w:tc>
          <w:tcPr>
            <w:tcW w:w="2705" w:type="pct"/>
            <w:gridSpan w:val="8"/>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94" w:hRule="atLeast"/>
        </w:trPr>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1954" w:type="pct"/>
            <w:gridSpan w:val="7"/>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保障机关工作顺利运行；对纪检监察干部综合素质培训；对全县22个乡镇及84个县直单位党风廉政建设情况进行监督检查；保障“清廉郸城”活动顺利开展；对宣教基地谈话中心修缮和信息网络维护。</w:t>
            </w:r>
          </w:p>
        </w:tc>
        <w:tc>
          <w:tcPr>
            <w:tcW w:w="2705" w:type="pct"/>
            <w:gridSpan w:val="8"/>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保障机关工作顺利运行；对纪检监察干部综合素质培训；对全县22个乡镇及84个县直单位党风廉政建设情况进行监督检查；保障“清廉郸城”活动顺利开展；对宣教基地谈话中心修缮和信息网络维护。</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5000" w:type="pct"/>
            <w:gridSpan w:val="16"/>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5000" w:type="pct"/>
            <w:gridSpan w:val="1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9" w:hRule="atLeast"/>
        </w:trPr>
        <w:tc>
          <w:tcPr>
            <w:tcW w:w="521"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一级指标</w:t>
            </w:r>
          </w:p>
        </w:tc>
        <w:tc>
          <w:tcPr>
            <w:tcW w:w="490"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二级指标</w:t>
            </w:r>
          </w:p>
        </w:tc>
        <w:tc>
          <w:tcPr>
            <w:tcW w:w="804"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三级指标</w:t>
            </w:r>
          </w:p>
        </w:tc>
        <w:tc>
          <w:tcPr>
            <w:tcW w:w="47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年度指标值</w:t>
            </w:r>
          </w:p>
        </w:tc>
        <w:tc>
          <w:tcPr>
            <w:tcW w:w="48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实际值完成值</w:t>
            </w:r>
          </w:p>
        </w:tc>
        <w:tc>
          <w:tcPr>
            <w:tcW w:w="55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分值</w:t>
            </w:r>
          </w:p>
        </w:tc>
        <w:tc>
          <w:tcPr>
            <w:tcW w:w="555"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得分</w:t>
            </w:r>
          </w:p>
        </w:tc>
        <w:tc>
          <w:tcPr>
            <w:tcW w:w="555"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偏差度</w:t>
            </w:r>
          </w:p>
        </w:tc>
        <w:tc>
          <w:tcPr>
            <w:tcW w:w="55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9" w:hRule="atLeast"/>
        </w:trPr>
        <w:tc>
          <w:tcPr>
            <w:tcW w:w="52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490"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804"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48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55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555"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555"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5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7" w:hRule="atLeast"/>
        </w:trPr>
        <w:tc>
          <w:tcPr>
            <w:tcW w:w="5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成本指标</w:t>
            </w:r>
          </w:p>
        </w:tc>
        <w:tc>
          <w:tcPr>
            <w:tcW w:w="49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经济成本指标</w:t>
            </w:r>
          </w:p>
        </w:tc>
        <w:tc>
          <w:tcPr>
            <w:tcW w:w="804"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经费资金总额</w:t>
            </w:r>
          </w:p>
        </w:tc>
        <w:tc>
          <w:tcPr>
            <w:tcW w:w="4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≤685.4万元</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563.49万元</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10</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10</w:t>
            </w:r>
          </w:p>
        </w:tc>
        <w:tc>
          <w:tcPr>
            <w:tcW w:w="555"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0.00</w:t>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6" w:hRule="atLeast"/>
        </w:trPr>
        <w:tc>
          <w:tcPr>
            <w:tcW w:w="521"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产出指标</w:t>
            </w:r>
          </w:p>
        </w:tc>
        <w:tc>
          <w:tcPr>
            <w:tcW w:w="490"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数量指标</w:t>
            </w:r>
          </w:p>
        </w:tc>
        <w:tc>
          <w:tcPr>
            <w:tcW w:w="804"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开展廉政教育场次</w:t>
            </w:r>
          </w:p>
        </w:tc>
        <w:tc>
          <w:tcPr>
            <w:tcW w:w="4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≥60次</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60次</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5</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5</w:t>
            </w:r>
          </w:p>
        </w:tc>
        <w:tc>
          <w:tcPr>
            <w:tcW w:w="555"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0.00</w:t>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7" w:hRule="atLeast"/>
        </w:trPr>
        <w:tc>
          <w:tcPr>
            <w:tcW w:w="52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490"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804"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督促检查指导次数</w:t>
            </w:r>
          </w:p>
        </w:tc>
        <w:tc>
          <w:tcPr>
            <w:tcW w:w="4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≥290次</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290次</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5</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5</w:t>
            </w:r>
          </w:p>
        </w:tc>
        <w:tc>
          <w:tcPr>
            <w:tcW w:w="555"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0.00</w:t>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1" w:hRule="atLeast"/>
        </w:trPr>
        <w:tc>
          <w:tcPr>
            <w:tcW w:w="52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49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质量指标</w:t>
            </w:r>
          </w:p>
        </w:tc>
        <w:tc>
          <w:tcPr>
            <w:tcW w:w="804"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监督检查覆盖率</w:t>
            </w:r>
          </w:p>
        </w:tc>
        <w:tc>
          <w:tcPr>
            <w:tcW w:w="4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=98  %</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98  %</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10</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10</w:t>
            </w:r>
          </w:p>
        </w:tc>
        <w:tc>
          <w:tcPr>
            <w:tcW w:w="555"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0.00</w:t>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1" w:hRule="atLeast"/>
        </w:trPr>
        <w:tc>
          <w:tcPr>
            <w:tcW w:w="52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49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时效指标</w:t>
            </w:r>
          </w:p>
        </w:tc>
        <w:tc>
          <w:tcPr>
            <w:tcW w:w="804"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检查指导工作开展及时率</w:t>
            </w:r>
          </w:p>
        </w:tc>
        <w:tc>
          <w:tcPr>
            <w:tcW w:w="4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≥95%</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100%</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10</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10</w:t>
            </w:r>
          </w:p>
        </w:tc>
        <w:tc>
          <w:tcPr>
            <w:tcW w:w="555"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0.00</w:t>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7" w:hRule="atLeast"/>
        </w:trPr>
        <w:tc>
          <w:tcPr>
            <w:tcW w:w="521"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效益指标</w:t>
            </w:r>
          </w:p>
        </w:tc>
        <w:tc>
          <w:tcPr>
            <w:tcW w:w="490"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社会效益指标</w:t>
            </w:r>
          </w:p>
        </w:tc>
        <w:tc>
          <w:tcPr>
            <w:tcW w:w="804"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提高治理腐败效能</w:t>
            </w:r>
          </w:p>
        </w:tc>
        <w:tc>
          <w:tcPr>
            <w:tcW w:w="4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提高</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100%</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12</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12</w:t>
            </w:r>
          </w:p>
        </w:tc>
        <w:tc>
          <w:tcPr>
            <w:tcW w:w="555"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0.00</w:t>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9" w:hRule="atLeast"/>
        </w:trPr>
        <w:tc>
          <w:tcPr>
            <w:tcW w:w="52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490"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804"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提升监督单位效能</w:t>
            </w:r>
          </w:p>
        </w:tc>
        <w:tc>
          <w:tcPr>
            <w:tcW w:w="4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提升</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100%</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13</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13</w:t>
            </w:r>
          </w:p>
        </w:tc>
        <w:tc>
          <w:tcPr>
            <w:tcW w:w="555"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0.00</w:t>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4" w:hRule="atLeast"/>
        </w:trPr>
        <w:tc>
          <w:tcPr>
            <w:tcW w:w="5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满意度指标</w:t>
            </w:r>
          </w:p>
        </w:tc>
        <w:tc>
          <w:tcPr>
            <w:tcW w:w="49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服务对象满意度指标</w:t>
            </w:r>
          </w:p>
        </w:tc>
        <w:tc>
          <w:tcPr>
            <w:tcW w:w="804"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工作人员满意度</w:t>
            </w:r>
          </w:p>
        </w:tc>
        <w:tc>
          <w:tcPr>
            <w:tcW w:w="4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≥95%</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100%</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5</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5</w:t>
            </w:r>
          </w:p>
        </w:tc>
        <w:tc>
          <w:tcPr>
            <w:tcW w:w="555"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0.00</w:t>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9" w:hRule="atLeast"/>
        </w:trPr>
        <w:tc>
          <w:tcPr>
            <w:tcW w:w="2777" w:type="pct"/>
            <w:gridSpan w:val="9"/>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总分</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100</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98.44</w:t>
            </w:r>
          </w:p>
        </w:tc>
        <w:tc>
          <w:tcPr>
            <w:tcW w:w="555"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color w:val="000000" w:themeColor="text1"/>
          <w:kern w:val="2"/>
          <w:sz w:val="32"/>
          <w:szCs w:val="32"/>
          <w:lang w:val="en-US" w:eastAsia="zh-CN"/>
          <w14:textFill>
            <w14:solidFill>
              <w14:schemeClr w14:val="tx1"/>
            </w14:solidFill>
          </w14:textFill>
        </w:rPr>
        <w:sectPr>
          <w:pgSz w:w="16838" w:h="11906" w:orient="landscape"/>
          <w:pgMar w:top="1803" w:right="1440" w:bottom="1803" w:left="1440" w:header="850" w:footer="992" w:gutter="0"/>
          <w:pgNumType w:fmt="numberInDash"/>
          <w:cols w:space="720" w:num="1"/>
          <w:docGrid w:type="lines" w:linePitch="317" w:charSpace="0"/>
        </w:sect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color w:val="000000" w:themeColor="text1"/>
          <w:kern w:val="2"/>
          <w:sz w:val="32"/>
          <w:szCs w:val="32"/>
          <w:lang w:val="en-US" w:eastAsia="zh-CN"/>
          <w14:textFill>
            <w14:solidFill>
              <w14:schemeClr w14:val="tx1"/>
            </w14:solidFill>
          </w14:textFill>
        </w:rPr>
      </w:pP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color w:val="000000" w:themeColor="text1"/>
          <w:sz w:val="32"/>
          <w:szCs w:val="32"/>
          <w:lang w:val="en-US" w:eastAsia="zh-CN"/>
          <w14:textFill>
            <w14:solidFill>
              <w14:schemeClr w14:val="tx1"/>
            </w14:solidFill>
          </w14:textFill>
        </w:rPr>
      </w:pPr>
      <w:r>
        <w:rPr>
          <w:rFonts w:hint="eastAsia" w:ascii="楷体_GB2312" w:hAnsi="楷体_GB2312" w:eastAsia="楷体_GB2312" w:cs="楷体_GB2312"/>
          <w:b/>
          <w:bCs/>
          <w:color w:val="000000" w:themeColor="text1"/>
          <w:sz w:val="32"/>
          <w:szCs w:val="32"/>
          <w:lang w:val="en-US" w:eastAsia="zh-CN"/>
          <w14:textFill>
            <w14:solidFill>
              <w14:schemeClr w14:val="tx1"/>
            </w14:solidFill>
          </w14:textFill>
        </w:rPr>
        <w:t>（三）部门整体绩效自评结果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color w:val="000000" w:themeColor="text1"/>
          <w:kern w:val="2"/>
          <w:sz w:val="32"/>
          <w:szCs w:val="32"/>
          <w:lang w:val="en-US" w:eastAsia="zh-CN"/>
          <w14:textFill>
            <w14:solidFill>
              <w14:schemeClr w14:val="tx1"/>
            </w14:solidFill>
          </w14:textFill>
        </w:rPr>
      </w:pPr>
      <w:r>
        <w:rPr>
          <w:rFonts w:hint="eastAsia" w:ascii="仿宋" w:hAnsi="仿宋" w:eastAsia="仿宋" w:cs="仿宋"/>
          <w:color w:val="000000" w:themeColor="text1"/>
          <w:kern w:val="2"/>
          <w:sz w:val="32"/>
          <w:szCs w:val="32"/>
          <w:lang w:val="en-US" w:eastAsia="zh-CN"/>
          <w14:textFill>
            <w14:solidFill>
              <w14:schemeClr w14:val="tx1"/>
            </w14:solidFill>
          </w14:textFill>
        </w:rPr>
        <w:t>我部门对</w:t>
      </w:r>
      <w:r>
        <w:rPr>
          <w:rFonts w:hint="default" w:ascii="仿宋" w:hAnsi="仿宋" w:eastAsia="仿宋" w:cs="仿宋"/>
          <w:color w:val="000000" w:themeColor="text1"/>
          <w:kern w:val="2"/>
          <w:sz w:val="32"/>
          <w:szCs w:val="32"/>
          <w:lang w:val="en-US" w:eastAsia="zh-CN"/>
          <w14:textFill>
            <w14:solidFill>
              <w14:schemeClr w14:val="tx1"/>
            </w14:solidFill>
          </w14:textFill>
        </w:rPr>
        <w:t>202</w:t>
      </w:r>
      <w:r>
        <w:rPr>
          <w:rFonts w:hint="eastAsia" w:ascii="仿宋" w:hAnsi="仿宋" w:eastAsia="仿宋" w:cs="仿宋"/>
          <w:color w:val="000000" w:themeColor="text1"/>
          <w:kern w:val="2"/>
          <w:sz w:val="32"/>
          <w:szCs w:val="32"/>
          <w:lang w:val="en-US" w:eastAsia="zh-CN"/>
          <w14:textFill>
            <w14:solidFill>
              <w14:schemeClr w14:val="tx1"/>
            </w14:solidFill>
          </w14:textFill>
        </w:rPr>
        <w:t>4年度部门整体支出进行绩效自评，得分为</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99</w:t>
      </w:r>
      <w:r>
        <w:rPr>
          <w:rFonts w:hint="eastAsia" w:ascii="仿宋" w:hAnsi="仿宋" w:eastAsia="仿宋" w:cs="仿宋"/>
          <w:color w:val="000000" w:themeColor="text1"/>
          <w:kern w:val="2"/>
          <w:sz w:val="32"/>
          <w:szCs w:val="32"/>
          <w:lang w:val="en-US" w:eastAsia="zh-CN"/>
          <w14:textFill>
            <w14:solidFill>
              <w14:schemeClr w14:val="tx1"/>
            </w14:solidFill>
          </w14:textFill>
        </w:rPr>
        <w:t>分。从自评情况看，各项工作总体完成情况较好，部门履职效能进一步提升。</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color w:val="000000" w:themeColor="text1"/>
          <w:kern w:val="2"/>
          <w:sz w:val="32"/>
          <w:szCs w:val="32"/>
          <w:lang w:val="en-US" w:eastAsia="zh-CN"/>
          <w14:textFill>
            <w14:solidFill>
              <w14:schemeClr w14:val="tx1"/>
            </w14:solidFill>
          </w14:textFill>
        </w:rPr>
        <w:sectPr>
          <w:pgSz w:w="11906" w:h="16838"/>
          <w:pgMar w:top="1440" w:right="1803" w:bottom="1440" w:left="1803" w:header="850" w:footer="992" w:gutter="0"/>
          <w:pgNumType w:fmt="numberInDash"/>
          <w:cols w:space="720" w:num="1"/>
          <w:docGrid w:type="lines" w:linePitch="317" w:charSpace="0"/>
        </w:sectPr>
      </w:pPr>
    </w:p>
    <w:tbl>
      <w:tblPr>
        <w:tblStyle w:val="2"/>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426"/>
        <w:gridCol w:w="1449"/>
        <w:gridCol w:w="1953"/>
        <w:gridCol w:w="1386"/>
        <w:gridCol w:w="96"/>
        <w:gridCol w:w="1485"/>
        <w:gridCol w:w="2044"/>
        <w:gridCol w:w="811"/>
        <w:gridCol w:w="695"/>
        <w:gridCol w:w="989"/>
        <w:gridCol w:w="1106"/>
        <w:gridCol w:w="7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5" w:hRule="atLeast"/>
        </w:trPr>
        <w:tc>
          <w:tcPr>
            <w:tcW w:w="5000" w:type="pct"/>
            <w:gridSpan w:val="1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部门整体支出绩效自评情况表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5000" w:type="pct"/>
            <w:gridSpan w:val="1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2024年8月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703" w:type="pct"/>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部门（单位）名称</w:t>
            </w:r>
          </w:p>
        </w:tc>
        <w:tc>
          <w:tcPr>
            <w:tcW w:w="3296" w:type="pct"/>
            <w:gridSpan w:val="9"/>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中共郸城县纪律检查委员会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503" w:type="pct"/>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部门整体支出情况(万元)</w:t>
            </w:r>
          </w:p>
        </w:tc>
        <w:tc>
          <w:tcPr>
            <w:tcW w:w="120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52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年初预算数</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全年预算数</w:t>
            </w:r>
          </w:p>
        </w:tc>
        <w:tc>
          <w:tcPr>
            <w:tcW w:w="100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全年执行数</w:t>
            </w:r>
          </w:p>
        </w:tc>
        <w:tc>
          <w:tcPr>
            <w:tcW w:w="59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分值</w:t>
            </w:r>
          </w:p>
        </w:tc>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执行率</w:t>
            </w:r>
          </w:p>
        </w:tc>
        <w:tc>
          <w:tcPr>
            <w:tcW w:w="2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503"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120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部门预算总额</w:t>
            </w:r>
          </w:p>
        </w:tc>
        <w:tc>
          <w:tcPr>
            <w:tcW w:w="52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themeColor="text1"/>
                <w:sz w:val="18"/>
                <w:szCs w:val="18"/>
                <w:u w:val="none"/>
                <w:lang w:val="en-US"/>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2074.60</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sz w:val="18"/>
                <w:szCs w:val="18"/>
                <w:u w:val="none"/>
                <w14:textFill>
                  <w14:solidFill>
                    <w14:schemeClr w14:val="tx1"/>
                  </w14:solidFill>
                </w14:textFill>
              </w:rPr>
              <w:t>2501.75</w:t>
            </w:r>
          </w:p>
        </w:tc>
        <w:tc>
          <w:tcPr>
            <w:tcW w:w="100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sz w:val="18"/>
                <w:szCs w:val="18"/>
                <w:u w:val="none"/>
                <w14:textFill>
                  <w14:solidFill>
                    <w14:schemeClr w14:val="tx1"/>
                  </w14:solidFill>
                </w14:textFill>
              </w:rPr>
              <w:t>2501.75</w:t>
            </w:r>
          </w:p>
        </w:tc>
        <w:tc>
          <w:tcPr>
            <w:tcW w:w="59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10</w:t>
            </w:r>
          </w:p>
        </w:tc>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93.45 %</w:t>
            </w:r>
          </w:p>
        </w:tc>
        <w:tc>
          <w:tcPr>
            <w:tcW w:w="2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503"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120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资金来源：（1）财政拨款</w:t>
            </w:r>
          </w:p>
        </w:tc>
        <w:tc>
          <w:tcPr>
            <w:tcW w:w="52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2074.60</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sz w:val="18"/>
                <w:szCs w:val="18"/>
                <w:u w:val="none"/>
                <w14:textFill>
                  <w14:solidFill>
                    <w14:schemeClr w14:val="tx1"/>
                  </w14:solidFill>
                </w14:textFill>
              </w:rPr>
              <w:t>2501.75</w:t>
            </w:r>
          </w:p>
        </w:tc>
        <w:tc>
          <w:tcPr>
            <w:tcW w:w="100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sz w:val="18"/>
                <w:szCs w:val="18"/>
                <w:u w:val="none"/>
                <w14:textFill>
                  <w14:solidFill>
                    <w14:schemeClr w14:val="tx1"/>
                  </w14:solidFill>
                </w14:textFill>
              </w:rPr>
              <w:t>2501.75</w:t>
            </w:r>
          </w:p>
        </w:tc>
        <w:tc>
          <w:tcPr>
            <w:tcW w:w="59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w:t>
            </w:r>
          </w:p>
        </w:tc>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93.95 %</w:t>
            </w:r>
          </w:p>
        </w:tc>
        <w:tc>
          <w:tcPr>
            <w:tcW w:w="2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503"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120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（2）财政专户管理资金</w:t>
            </w:r>
          </w:p>
        </w:tc>
        <w:tc>
          <w:tcPr>
            <w:tcW w:w="52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0</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0</w:t>
            </w:r>
          </w:p>
        </w:tc>
        <w:tc>
          <w:tcPr>
            <w:tcW w:w="100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0</w:t>
            </w:r>
          </w:p>
        </w:tc>
        <w:tc>
          <w:tcPr>
            <w:tcW w:w="59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w:t>
            </w:r>
          </w:p>
        </w:tc>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0.00%</w:t>
            </w:r>
          </w:p>
        </w:tc>
        <w:tc>
          <w:tcPr>
            <w:tcW w:w="2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503"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120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（3）单位资金</w:t>
            </w:r>
          </w:p>
        </w:tc>
        <w:tc>
          <w:tcPr>
            <w:tcW w:w="52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0</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kern w:val="2"/>
                <w:sz w:val="18"/>
                <w:szCs w:val="18"/>
                <w:u w:val="none"/>
                <w:lang w:val="en-US" w:eastAsia="zh-CN" w:bidi="ar-SA"/>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0</w:t>
            </w:r>
          </w:p>
        </w:tc>
        <w:tc>
          <w:tcPr>
            <w:tcW w:w="100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kern w:val="2"/>
                <w:sz w:val="18"/>
                <w:szCs w:val="18"/>
                <w:u w:val="none"/>
                <w:lang w:val="en-US" w:eastAsia="zh-CN" w:bidi="ar-SA"/>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0</w:t>
            </w:r>
          </w:p>
        </w:tc>
        <w:tc>
          <w:tcPr>
            <w:tcW w:w="59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w:t>
            </w:r>
          </w:p>
        </w:tc>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0.0 %</w:t>
            </w:r>
          </w:p>
        </w:tc>
        <w:tc>
          <w:tcPr>
            <w:tcW w:w="2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50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年度履职目标</w:t>
            </w:r>
          </w:p>
        </w:tc>
        <w:tc>
          <w:tcPr>
            <w:tcW w:w="2247"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预期目标</w:t>
            </w:r>
          </w:p>
        </w:tc>
        <w:tc>
          <w:tcPr>
            <w:tcW w:w="2249" w:type="pct"/>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68" w:hRule="atLeast"/>
        </w:trPr>
        <w:tc>
          <w:tcPr>
            <w:tcW w:w="50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2247" w:type="pct"/>
            <w:gridSpan w:val="5"/>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保障机关工作顺利运行；对全县22个乡镇及84个县直单位党风廉政建设情况”进行监督检查；保障“清廉郸城活动顺利开展。保质保量完成2023年度案件查办工作，及时对举报线索进行查办，对问题线索进行调查和处置，提升公职人员遵纪守法程度，提高治理腐败效能。保障22个乡镇纪委及15个派驻纪检组日常工作正常运行。</w:t>
            </w:r>
          </w:p>
        </w:tc>
        <w:tc>
          <w:tcPr>
            <w:tcW w:w="2249" w:type="pct"/>
            <w:gridSpan w:val="6"/>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保障机关工作顺利运行；对全县22个乡镇及84个县直单位党风廉政建设情况”进行监督检查；保障“清廉郸城活动顺利开展。保质保量完成2023年度案件查办工作，及时对举报线索进行查办，对问题线索进行调查和处置，提升公职人员遵纪守法程度，提高治理腐败效能。保障22个乡镇纪委及15个派驻纪检组日常工作正常运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5000" w:type="pct"/>
            <w:gridSpan w:val="12"/>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年度主要任务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5" w:hRule="atLeast"/>
        </w:trPr>
        <w:tc>
          <w:tcPr>
            <w:tcW w:w="5000" w:type="pct"/>
            <w:gridSpan w:val="12"/>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50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任务名称</w:t>
            </w:r>
          </w:p>
        </w:tc>
        <w:tc>
          <w:tcPr>
            <w:tcW w:w="2247" w:type="pct"/>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主要内容</w:t>
            </w:r>
          </w:p>
        </w:tc>
        <w:tc>
          <w:tcPr>
            <w:tcW w:w="2249" w:type="pct"/>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保障单位运行</w:t>
            </w:r>
          </w:p>
        </w:tc>
        <w:tc>
          <w:tcPr>
            <w:tcW w:w="2247"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保障机关工作顺利运行；对全县22个乡镇及84个县直单位党风廉政建设情况”进行监督检查；保障“清廉郸城活动顺利开展。保质保量完成2023年度案件查办工作，及时对举报线索进行查办，对问题线索进行调查和处置，提升公职人员遵纪守法程度，提高治理腐败效能。保障22个乡镇纪委及15个派驻纪检组日常工作正常运行。</w:t>
            </w:r>
          </w:p>
        </w:tc>
        <w:tc>
          <w:tcPr>
            <w:tcW w:w="2249"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已完成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5000" w:type="pct"/>
            <w:gridSpan w:val="1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一级指标</w:t>
            </w:r>
          </w:p>
        </w:tc>
        <w:tc>
          <w:tcPr>
            <w:tcW w:w="5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二级指标</w:t>
            </w:r>
          </w:p>
        </w:tc>
        <w:tc>
          <w:tcPr>
            <w:tcW w:w="11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三级指标</w:t>
            </w:r>
          </w:p>
        </w:tc>
        <w:tc>
          <w:tcPr>
            <w:tcW w:w="55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年度指标值</w:t>
            </w:r>
          </w:p>
        </w:tc>
        <w:tc>
          <w:tcPr>
            <w:tcW w:w="7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实际完成值</w:t>
            </w:r>
          </w:p>
        </w:tc>
        <w:tc>
          <w:tcPr>
            <w:tcW w:w="28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分值</w:t>
            </w:r>
          </w:p>
        </w:tc>
        <w:tc>
          <w:tcPr>
            <w:tcW w:w="24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得分</w:t>
            </w:r>
          </w:p>
        </w:tc>
        <w:tc>
          <w:tcPr>
            <w:tcW w:w="34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偏差度</w:t>
            </w:r>
          </w:p>
        </w:tc>
        <w:tc>
          <w:tcPr>
            <w:tcW w:w="65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9" w:hRule="atLeast"/>
        </w:trPr>
        <w:tc>
          <w:tcPr>
            <w:tcW w:w="50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投入管理指标</w:t>
            </w:r>
          </w:p>
        </w:tc>
        <w:tc>
          <w:tcPr>
            <w:tcW w:w="51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工作目标管理</w:t>
            </w:r>
          </w:p>
        </w:tc>
        <w:tc>
          <w:tcPr>
            <w:tcW w:w="11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年度履职目标相关性</w:t>
            </w:r>
          </w:p>
        </w:tc>
        <w:tc>
          <w:tcPr>
            <w:tcW w:w="55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相关</w:t>
            </w:r>
          </w:p>
        </w:tc>
        <w:tc>
          <w:tcPr>
            <w:tcW w:w="7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100%</w:t>
            </w:r>
          </w:p>
        </w:tc>
        <w:tc>
          <w:tcPr>
            <w:tcW w:w="28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2</w:t>
            </w:r>
          </w:p>
        </w:tc>
        <w:tc>
          <w:tcPr>
            <w:tcW w:w="24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2</w:t>
            </w:r>
          </w:p>
        </w:tc>
        <w:tc>
          <w:tcPr>
            <w:tcW w:w="34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0.00</w:t>
            </w:r>
          </w:p>
        </w:tc>
        <w:tc>
          <w:tcPr>
            <w:tcW w:w="65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2" w:hRule="atLeast"/>
        </w:trPr>
        <w:tc>
          <w:tcPr>
            <w:tcW w:w="50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11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工作任务科学性</w:t>
            </w:r>
          </w:p>
        </w:tc>
        <w:tc>
          <w:tcPr>
            <w:tcW w:w="55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科学</w:t>
            </w:r>
          </w:p>
        </w:tc>
        <w:tc>
          <w:tcPr>
            <w:tcW w:w="7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100%</w:t>
            </w:r>
          </w:p>
        </w:tc>
        <w:tc>
          <w:tcPr>
            <w:tcW w:w="28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2</w:t>
            </w:r>
          </w:p>
        </w:tc>
        <w:tc>
          <w:tcPr>
            <w:tcW w:w="24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2</w:t>
            </w:r>
          </w:p>
        </w:tc>
        <w:tc>
          <w:tcPr>
            <w:tcW w:w="34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0.00</w:t>
            </w:r>
          </w:p>
        </w:tc>
        <w:tc>
          <w:tcPr>
            <w:tcW w:w="65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5" w:hRule="atLeast"/>
        </w:trPr>
        <w:tc>
          <w:tcPr>
            <w:tcW w:w="50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11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绩效指标合理性</w:t>
            </w:r>
          </w:p>
        </w:tc>
        <w:tc>
          <w:tcPr>
            <w:tcW w:w="55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合理</w:t>
            </w:r>
          </w:p>
        </w:tc>
        <w:tc>
          <w:tcPr>
            <w:tcW w:w="7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100%</w:t>
            </w:r>
          </w:p>
        </w:tc>
        <w:tc>
          <w:tcPr>
            <w:tcW w:w="28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2</w:t>
            </w:r>
          </w:p>
        </w:tc>
        <w:tc>
          <w:tcPr>
            <w:tcW w:w="24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2</w:t>
            </w:r>
          </w:p>
        </w:tc>
        <w:tc>
          <w:tcPr>
            <w:tcW w:w="34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0.00</w:t>
            </w:r>
          </w:p>
        </w:tc>
        <w:tc>
          <w:tcPr>
            <w:tcW w:w="65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1" w:hRule="atLeast"/>
        </w:trPr>
        <w:tc>
          <w:tcPr>
            <w:tcW w:w="50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51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预算和财务管理</w:t>
            </w:r>
          </w:p>
        </w:tc>
        <w:tc>
          <w:tcPr>
            <w:tcW w:w="11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预算编制完整性</w:t>
            </w:r>
          </w:p>
        </w:tc>
        <w:tc>
          <w:tcPr>
            <w:tcW w:w="55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完整</w:t>
            </w:r>
          </w:p>
        </w:tc>
        <w:tc>
          <w:tcPr>
            <w:tcW w:w="7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100%</w:t>
            </w:r>
          </w:p>
        </w:tc>
        <w:tc>
          <w:tcPr>
            <w:tcW w:w="28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2</w:t>
            </w:r>
          </w:p>
        </w:tc>
        <w:tc>
          <w:tcPr>
            <w:tcW w:w="24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2</w:t>
            </w:r>
          </w:p>
        </w:tc>
        <w:tc>
          <w:tcPr>
            <w:tcW w:w="34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0.00</w:t>
            </w:r>
          </w:p>
        </w:tc>
        <w:tc>
          <w:tcPr>
            <w:tcW w:w="65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4" w:hRule="atLeast"/>
        </w:trPr>
        <w:tc>
          <w:tcPr>
            <w:tcW w:w="50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11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专项资金细化率</w:t>
            </w:r>
          </w:p>
        </w:tc>
        <w:tc>
          <w:tcPr>
            <w:tcW w:w="55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≥100%</w:t>
            </w:r>
          </w:p>
        </w:tc>
        <w:tc>
          <w:tcPr>
            <w:tcW w:w="7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100%</w:t>
            </w:r>
          </w:p>
        </w:tc>
        <w:tc>
          <w:tcPr>
            <w:tcW w:w="28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2</w:t>
            </w:r>
          </w:p>
        </w:tc>
        <w:tc>
          <w:tcPr>
            <w:tcW w:w="24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2</w:t>
            </w:r>
          </w:p>
        </w:tc>
        <w:tc>
          <w:tcPr>
            <w:tcW w:w="34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0.00</w:t>
            </w:r>
          </w:p>
        </w:tc>
        <w:tc>
          <w:tcPr>
            <w:tcW w:w="65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6" w:hRule="atLeast"/>
        </w:trPr>
        <w:tc>
          <w:tcPr>
            <w:tcW w:w="50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11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预算调整率</w:t>
            </w:r>
          </w:p>
        </w:tc>
        <w:tc>
          <w:tcPr>
            <w:tcW w:w="55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≤30%</w:t>
            </w:r>
          </w:p>
        </w:tc>
        <w:tc>
          <w:tcPr>
            <w:tcW w:w="7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6%</w:t>
            </w:r>
          </w:p>
        </w:tc>
        <w:tc>
          <w:tcPr>
            <w:tcW w:w="28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w:t>
            </w:r>
          </w:p>
        </w:tc>
        <w:tc>
          <w:tcPr>
            <w:tcW w:w="24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w:t>
            </w:r>
          </w:p>
        </w:tc>
        <w:tc>
          <w:tcPr>
            <w:tcW w:w="34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0.00</w:t>
            </w:r>
          </w:p>
        </w:tc>
        <w:tc>
          <w:tcPr>
            <w:tcW w:w="65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7" w:hRule="atLeast"/>
        </w:trPr>
        <w:tc>
          <w:tcPr>
            <w:tcW w:w="50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11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结转结余率</w:t>
            </w:r>
          </w:p>
        </w:tc>
        <w:tc>
          <w:tcPr>
            <w:tcW w:w="55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≤3%</w:t>
            </w:r>
          </w:p>
        </w:tc>
        <w:tc>
          <w:tcPr>
            <w:tcW w:w="7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6.55%</w:t>
            </w:r>
          </w:p>
        </w:tc>
        <w:tc>
          <w:tcPr>
            <w:tcW w:w="28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w:t>
            </w:r>
          </w:p>
        </w:tc>
        <w:tc>
          <w:tcPr>
            <w:tcW w:w="24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0</w:t>
            </w:r>
          </w:p>
        </w:tc>
        <w:tc>
          <w:tcPr>
            <w:tcW w:w="34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118.33</w:t>
            </w:r>
          </w:p>
        </w:tc>
        <w:tc>
          <w:tcPr>
            <w:tcW w:w="65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据实填写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6" w:hRule="atLeast"/>
        </w:trPr>
        <w:tc>
          <w:tcPr>
            <w:tcW w:w="50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11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“三公经费”控制率</w:t>
            </w:r>
          </w:p>
        </w:tc>
        <w:tc>
          <w:tcPr>
            <w:tcW w:w="55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≤90%</w:t>
            </w:r>
          </w:p>
        </w:tc>
        <w:tc>
          <w:tcPr>
            <w:tcW w:w="7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90%</w:t>
            </w:r>
          </w:p>
        </w:tc>
        <w:tc>
          <w:tcPr>
            <w:tcW w:w="28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w:t>
            </w:r>
          </w:p>
        </w:tc>
        <w:tc>
          <w:tcPr>
            <w:tcW w:w="24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w:t>
            </w:r>
          </w:p>
        </w:tc>
        <w:tc>
          <w:tcPr>
            <w:tcW w:w="34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0.00</w:t>
            </w:r>
          </w:p>
        </w:tc>
        <w:tc>
          <w:tcPr>
            <w:tcW w:w="65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9" w:hRule="atLeast"/>
        </w:trPr>
        <w:tc>
          <w:tcPr>
            <w:tcW w:w="50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11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政府采购执行率</w:t>
            </w:r>
          </w:p>
        </w:tc>
        <w:tc>
          <w:tcPr>
            <w:tcW w:w="55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≥100%</w:t>
            </w:r>
          </w:p>
        </w:tc>
        <w:tc>
          <w:tcPr>
            <w:tcW w:w="7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100%</w:t>
            </w:r>
          </w:p>
        </w:tc>
        <w:tc>
          <w:tcPr>
            <w:tcW w:w="28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2</w:t>
            </w:r>
          </w:p>
        </w:tc>
        <w:tc>
          <w:tcPr>
            <w:tcW w:w="24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2</w:t>
            </w:r>
          </w:p>
        </w:tc>
        <w:tc>
          <w:tcPr>
            <w:tcW w:w="34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0.00</w:t>
            </w:r>
          </w:p>
        </w:tc>
        <w:tc>
          <w:tcPr>
            <w:tcW w:w="65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6" w:hRule="atLeast"/>
        </w:trPr>
        <w:tc>
          <w:tcPr>
            <w:tcW w:w="50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11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决算真实性</w:t>
            </w:r>
          </w:p>
        </w:tc>
        <w:tc>
          <w:tcPr>
            <w:tcW w:w="55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真实</w:t>
            </w:r>
          </w:p>
        </w:tc>
        <w:tc>
          <w:tcPr>
            <w:tcW w:w="7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100%</w:t>
            </w:r>
          </w:p>
        </w:tc>
        <w:tc>
          <w:tcPr>
            <w:tcW w:w="28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w:t>
            </w:r>
          </w:p>
        </w:tc>
        <w:tc>
          <w:tcPr>
            <w:tcW w:w="24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w:t>
            </w:r>
          </w:p>
        </w:tc>
        <w:tc>
          <w:tcPr>
            <w:tcW w:w="34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0.00</w:t>
            </w:r>
          </w:p>
        </w:tc>
        <w:tc>
          <w:tcPr>
            <w:tcW w:w="65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3" w:hRule="atLeast"/>
        </w:trPr>
        <w:tc>
          <w:tcPr>
            <w:tcW w:w="50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11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资金使用合规性</w:t>
            </w:r>
          </w:p>
        </w:tc>
        <w:tc>
          <w:tcPr>
            <w:tcW w:w="55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合规</w:t>
            </w:r>
          </w:p>
        </w:tc>
        <w:tc>
          <w:tcPr>
            <w:tcW w:w="7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100%</w:t>
            </w:r>
          </w:p>
        </w:tc>
        <w:tc>
          <w:tcPr>
            <w:tcW w:w="28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w:t>
            </w:r>
          </w:p>
        </w:tc>
        <w:tc>
          <w:tcPr>
            <w:tcW w:w="24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w:t>
            </w:r>
          </w:p>
        </w:tc>
        <w:tc>
          <w:tcPr>
            <w:tcW w:w="34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0.00</w:t>
            </w:r>
          </w:p>
        </w:tc>
        <w:tc>
          <w:tcPr>
            <w:tcW w:w="65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6" w:hRule="atLeast"/>
        </w:trPr>
        <w:tc>
          <w:tcPr>
            <w:tcW w:w="50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11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管理制度健全性</w:t>
            </w:r>
          </w:p>
        </w:tc>
        <w:tc>
          <w:tcPr>
            <w:tcW w:w="55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健全</w:t>
            </w:r>
          </w:p>
        </w:tc>
        <w:tc>
          <w:tcPr>
            <w:tcW w:w="7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100%</w:t>
            </w:r>
          </w:p>
        </w:tc>
        <w:tc>
          <w:tcPr>
            <w:tcW w:w="28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w:t>
            </w:r>
          </w:p>
        </w:tc>
        <w:tc>
          <w:tcPr>
            <w:tcW w:w="24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w:t>
            </w:r>
          </w:p>
        </w:tc>
        <w:tc>
          <w:tcPr>
            <w:tcW w:w="34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0.00</w:t>
            </w:r>
          </w:p>
        </w:tc>
        <w:tc>
          <w:tcPr>
            <w:tcW w:w="65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3" w:hRule="atLeast"/>
        </w:trPr>
        <w:tc>
          <w:tcPr>
            <w:tcW w:w="50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11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预决算信息公开性</w:t>
            </w:r>
          </w:p>
        </w:tc>
        <w:tc>
          <w:tcPr>
            <w:tcW w:w="55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公开</w:t>
            </w:r>
          </w:p>
        </w:tc>
        <w:tc>
          <w:tcPr>
            <w:tcW w:w="7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100%</w:t>
            </w:r>
          </w:p>
        </w:tc>
        <w:tc>
          <w:tcPr>
            <w:tcW w:w="28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w:t>
            </w:r>
          </w:p>
        </w:tc>
        <w:tc>
          <w:tcPr>
            <w:tcW w:w="24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w:t>
            </w:r>
          </w:p>
        </w:tc>
        <w:tc>
          <w:tcPr>
            <w:tcW w:w="34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0.00</w:t>
            </w:r>
          </w:p>
        </w:tc>
        <w:tc>
          <w:tcPr>
            <w:tcW w:w="65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8" w:hRule="atLeast"/>
        </w:trPr>
        <w:tc>
          <w:tcPr>
            <w:tcW w:w="50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11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资产管理规范性</w:t>
            </w:r>
          </w:p>
        </w:tc>
        <w:tc>
          <w:tcPr>
            <w:tcW w:w="55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规范</w:t>
            </w:r>
          </w:p>
        </w:tc>
        <w:tc>
          <w:tcPr>
            <w:tcW w:w="7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100%</w:t>
            </w:r>
          </w:p>
        </w:tc>
        <w:tc>
          <w:tcPr>
            <w:tcW w:w="28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w:t>
            </w:r>
          </w:p>
        </w:tc>
        <w:tc>
          <w:tcPr>
            <w:tcW w:w="24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w:t>
            </w:r>
          </w:p>
        </w:tc>
        <w:tc>
          <w:tcPr>
            <w:tcW w:w="34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0.00</w:t>
            </w:r>
          </w:p>
        </w:tc>
        <w:tc>
          <w:tcPr>
            <w:tcW w:w="65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6" w:hRule="atLeast"/>
        </w:trPr>
        <w:tc>
          <w:tcPr>
            <w:tcW w:w="50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51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绩效管理</w:t>
            </w:r>
          </w:p>
        </w:tc>
        <w:tc>
          <w:tcPr>
            <w:tcW w:w="11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绩效目标编制完成率</w:t>
            </w:r>
          </w:p>
        </w:tc>
        <w:tc>
          <w:tcPr>
            <w:tcW w:w="55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=100%</w:t>
            </w:r>
          </w:p>
        </w:tc>
        <w:tc>
          <w:tcPr>
            <w:tcW w:w="7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100%</w:t>
            </w:r>
          </w:p>
        </w:tc>
        <w:tc>
          <w:tcPr>
            <w:tcW w:w="28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2</w:t>
            </w:r>
          </w:p>
        </w:tc>
        <w:tc>
          <w:tcPr>
            <w:tcW w:w="24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2</w:t>
            </w:r>
          </w:p>
        </w:tc>
        <w:tc>
          <w:tcPr>
            <w:tcW w:w="34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0.00</w:t>
            </w:r>
          </w:p>
        </w:tc>
        <w:tc>
          <w:tcPr>
            <w:tcW w:w="65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3" w:hRule="atLeast"/>
        </w:trPr>
        <w:tc>
          <w:tcPr>
            <w:tcW w:w="50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11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绩效监控完成率</w:t>
            </w:r>
          </w:p>
        </w:tc>
        <w:tc>
          <w:tcPr>
            <w:tcW w:w="55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=100%</w:t>
            </w:r>
          </w:p>
        </w:tc>
        <w:tc>
          <w:tcPr>
            <w:tcW w:w="7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100%</w:t>
            </w:r>
          </w:p>
        </w:tc>
        <w:tc>
          <w:tcPr>
            <w:tcW w:w="28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2</w:t>
            </w:r>
          </w:p>
        </w:tc>
        <w:tc>
          <w:tcPr>
            <w:tcW w:w="24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2</w:t>
            </w:r>
          </w:p>
        </w:tc>
        <w:tc>
          <w:tcPr>
            <w:tcW w:w="34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0.00</w:t>
            </w:r>
          </w:p>
        </w:tc>
        <w:tc>
          <w:tcPr>
            <w:tcW w:w="65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4" w:hRule="atLeast"/>
        </w:trPr>
        <w:tc>
          <w:tcPr>
            <w:tcW w:w="50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11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绩效自评完成率</w:t>
            </w:r>
          </w:p>
        </w:tc>
        <w:tc>
          <w:tcPr>
            <w:tcW w:w="55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=100%</w:t>
            </w:r>
          </w:p>
        </w:tc>
        <w:tc>
          <w:tcPr>
            <w:tcW w:w="7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100%</w:t>
            </w:r>
          </w:p>
        </w:tc>
        <w:tc>
          <w:tcPr>
            <w:tcW w:w="28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2</w:t>
            </w:r>
          </w:p>
        </w:tc>
        <w:tc>
          <w:tcPr>
            <w:tcW w:w="24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2</w:t>
            </w:r>
          </w:p>
        </w:tc>
        <w:tc>
          <w:tcPr>
            <w:tcW w:w="34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0.00</w:t>
            </w:r>
          </w:p>
        </w:tc>
        <w:tc>
          <w:tcPr>
            <w:tcW w:w="65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7" w:hRule="atLeast"/>
        </w:trPr>
        <w:tc>
          <w:tcPr>
            <w:tcW w:w="50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11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部门绩效评价完成率</w:t>
            </w:r>
          </w:p>
        </w:tc>
        <w:tc>
          <w:tcPr>
            <w:tcW w:w="55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=100%</w:t>
            </w:r>
          </w:p>
        </w:tc>
        <w:tc>
          <w:tcPr>
            <w:tcW w:w="7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100%</w:t>
            </w:r>
          </w:p>
        </w:tc>
        <w:tc>
          <w:tcPr>
            <w:tcW w:w="28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2</w:t>
            </w:r>
          </w:p>
        </w:tc>
        <w:tc>
          <w:tcPr>
            <w:tcW w:w="24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2</w:t>
            </w:r>
          </w:p>
        </w:tc>
        <w:tc>
          <w:tcPr>
            <w:tcW w:w="34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0.00</w:t>
            </w:r>
          </w:p>
        </w:tc>
        <w:tc>
          <w:tcPr>
            <w:tcW w:w="65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4" w:hRule="atLeast"/>
        </w:trPr>
        <w:tc>
          <w:tcPr>
            <w:tcW w:w="50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11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评价结果应用率</w:t>
            </w:r>
          </w:p>
        </w:tc>
        <w:tc>
          <w:tcPr>
            <w:tcW w:w="55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=100%</w:t>
            </w:r>
          </w:p>
        </w:tc>
        <w:tc>
          <w:tcPr>
            <w:tcW w:w="7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100%</w:t>
            </w:r>
          </w:p>
        </w:tc>
        <w:tc>
          <w:tcPr>
            <w:tcW w:w="28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2</w:t>
            </w:r>
          </w:p>
        </w:tc>
        <w:tc>
          <w:tcPr>
            <w:tcW w:w="24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2</w:t>
            </w:r>
          </w:p>
        </w:tc>
        <w:tc>
          <w:tcPr>
            <w:tcW w:w="34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0.00</w:t>
            </w:r>
          </w:p>
        </w:tc>
        <w:tc>
          <w:tcPr>
            <w:tcW w:w="65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3" w:hRule="atLeast"/>
        </w:trPr>
        <w:tc>
          <w:tcPr>
            <w:tcW w:w="50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产出指标</w:t>
            </w:r>
          </w:p>
        </w:tc>
        <w:tc>
          <w:tcPr>
            <w:tcW w:w="5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重点工作任务完成</w:t>
            </w:r>
          </w:p>
        </w:tc>
        <w:tc>
          <w:tcPr>
            <w:tcW w:w="11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任务完成率</w:t>
            </w:r>
          </w:p>
        </w:tc>
        <w:tc>
          <w:tcPr>
            <w:tcW w:w="55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≥98%</w:t>
            </w:r>
          </w:p>
        </w:tc>
        <w:tc>
          <w:tcPr>
            <w:tcW w:w="7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100%</w:t>
            </w:r>
          </w:p>
        </w:tc>
        <w:tc>
          <w:tcPr>
            <w:tcW w:w="28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12</w:t>
            </w:r>
          </w:p>
        </w:tc>
        <w:tc>
          <w:tcPr>
            <w:tcW w:w="24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12</w:t>
            </w:r>
          </w:p>
        </w:tc>
        <w:tc>
          <w:tcPr>
            <w:tcW w:w="34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0.00</w:t>
            </w:r>
          </w:p>
        </w:tc>
        <w:tc>
          <w:tcPr>
            <w:tcW w:w="65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trPr>
        <w:tc>
          <w:tcPr>
            <w:tcW w:w="50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5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履职目标实现</w:t>
            </w:r>
          </w:p>
        </w:tc>
        <w:tc>
          <w:tcPr>
            <w:tcW w:w="11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 xml:space="preserve"> 全县党风廉政建设工作完成率</w:t>
            </w:r>
          </w:p>
        </w:tc>
        <w:tc>
          <w:tcPr>
            <w:tcW w:w="55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≥98%</w:t>
            </w:r>
          </w:p>
        </w:tc>
        <w:tc>
          <w:tcPr>
            <w:tcW w:w="7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100%</w:t>
            </w:r>
          </w:p>
        </w:tc>
        <w:tc>
          <w:tcPr>
            <w:tcW w:w="28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13</w:t>
            </w:r>
          </w:p>
        </w:tc>
        <w:tc>
          <w:tcPr>
            <w:tcW w:w="24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13</w:t>
            </w:r>
          </w:p>
        </w:tc>
        <w:tc>
          <w:tcPr>
            <w:tcW w:w="34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0.00</w:t>
            </w:r>
          </w:p>
        </w:tc>
        <w:tc>
          <w:tcPr>
            <w:tcW w:w="65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3" w:hRule="atLeast"/>
        </w:trPr>
        <w:tc>
          <w:tcPr>
            <w:tcW w:w="50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效益指标</w:t>
            </w:r>
          </w:p>
        </w:tc>
        <w:tc>
          <w:tcPr>
            <w:tcW w:w="51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履职效益</w:t>
            </w:r>
          </w:p>
        </w:tc>
        <w:tc>
          <w:tcPr>
            <w:tcW w:w="11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 xml:space="preserve"> 提高公职人员遵纪守法程度</w:t>
            </w:r>
          </w:p>
        </w:tc>
        <w:tc>
          <w:tcPr>
            <w:tcW w:w="55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提高</w:t>
            </w:r>
          </w:p>
        </w:tc>
        <w:tc>
          <w:tcPr>
            <w:tcW w:w="7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100%</w:t>
            </w:r>
          </w:p>
        </w:tc>
        <w:tc>
          <w:tcPr>
            <w:tcW w:w="28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15</w:t>
            </w:r>
          </w:p>
        </w:tc>
        <w:tc>
          <w:tcPr>
            <w:tcW w:w="24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15</w:t>
            </w:r>
          </w:p>
        </w:tc>
        <w:tc>
          <w:tcPr>
            <w:tcW w:w="34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0.00</w:t>
            </w:r>
          </w:p>
        </w:tc>
        <w:tc>
          <w:tcPr>
            <w:tcW w:w="65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7" w:hRule="atLeast"/>
        </w:trPr>
        <w:tc>
          <w:tcPr>
            <w:tcW w:w="50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11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保障各机构职能正常发挥</w:t>
            </w:r>
          </w:p>
        </w:tc>
        <w:tc>
          <w:tcPr>
            <w:tcW w:w="55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保障</w:t>
            </w:r>
          </w:p>
        </w:tc>
        <w:tc>
          <w:tcPr>
            <w:tcW w:w="7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100%</w:t>
            </w:r>
          </w:p>
        </w:tc>
        <w:tc>
          <w:tcPr>
            <w:tcW w:w="28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15</w:t>
            </w:r>
          </w:p>
        </w:tc>
        <w:tc>
          <w:tcPr>
            <w:tcW w:w="24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15</w:t>
            </w:r>
          </w:p>
        </w:tc>
        <w:tc>
          <w:tcPr>
            <w:tcW w:w="34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0.00</w:t>
            </w:r>
          </w:p>
        </w:tc>
        <w:tc>
          <w:tcPr>
            <w:tcW w:w="65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1" w:hRule="atLeast"/>
        </w:trPr>
        <w:tc>
          <w:tcPr>
            <w:tcW w:w="50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5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满意度</w:t>
            </w:r>
          </w:p>
        </w:tc>
        <w:tc>
          <w:tcPr>
            <w:tcW w:w="11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 xml:space="preserve"> 相关群体满意度</w:t>
            </w:r>
          </w:p>
        </w:tc>
        <w:tc>
          <w:tcPr>
            <w:tcW w:w="55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≥90%</w:t>
            </w:r>
          </w:p>
        </w:tc>
        <w:tc>
          <w:tcPr>
            <w:tcW w:w="7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100%</w:t>
            </w:r>
          </w:p>
        </w:tc>
        <w:tc>
          <w:tcPr>
            <w:tcW w:w="28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5</w:t>
            </w:r>
          </w:p>
        </w:tc>
        <w:tc>
          <w:tcPr>
            <w:tcW w:w="24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5</w:t>
            </w:r>
          </w:p>
        </w:tc>
        <w:tc>
          <w:tcPr>
            <w:tcW w:w="34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0.00</w:t>
            </w:r>
          </w:p>
        </w:tc>
        <w:tc>
          <w:tcPr>
            <w:tcW w:w="65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1" w:hRule="atLeast"/>
        </w:trPr>
        <w:tc>
          <w:tcPr>
            <w:tcW w:w="3470"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总分</w:t>
            </w:r>
          </w:p>
        </w:tc>
        <w:tc>
          <w:tcPr>
            <w:tcW w:w="28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100</w:t>
            </w:r>
          </w:p>
        </w:tc>
        <w:tc>
          <w:tcPr>
            <w:tcW w:w="24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18"/>
                <w:szCs w:val="18"/>
                <w:u w:val="none"/>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99</w:t>
            </w:r>
          </w:p>
        </w:tc>
        <w:tc>
          <w:tcPr>
            <w:tcW w:w="34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c>
          <w:tcPr>
            <w:tcW w:w="65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themeColor="text1"/>
                <w:sz w:val="18"/>
                <w:szCs w:val="18"/>
                <w:u w:val="none"/>
                <w14:textFill>
                  <w14:solidFill>
                    <w14:schemeClr w14:val="tx1"/>
                  </w14:solidFill>
                </w14:textFill>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default" w:ascii="仿宋" w:hAnsi="仿宋" w:eastAsia="仿宋" w:cs="仿宋"/>
          <w:color w:val="000000" w:themeColor="text1"/>
          <w:kern w:val="2"/>
          <w:sz w:val="32"/>
          <w:szCs w:val="32"/>
          <w:lang w:val="en-US" w:eastAsia="zh-CN"/>
          <w14:textFill>
            <w14:solidFill>
              <w14:schemeClr w14:val="tx1"/>
            </w14:solidFill>
          </w14:textFill>
        </w:rPr>
        <w:sectPr>
          <w:pgSz w:w="16838" w:h="11906" w:orient="landscape"/>
          <w:pgMar w:top="1803" w:right="1440" w:bottom="1803" w:left="1440" w:header="850" w:footer="992" w:gutter="0"/>
          <w:pgNumType w:fmt="numberInDash"/>
          <w:cols w:space="720" w:num="1"/>
          <w:docGrid w:type="lines" w:linePitch="317" w:charSpace="0"/>
        </w:sect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default" w:ascii="仿宋" w:hAnsi="仿宋" w:eastAsia="仿宋" w:cs="仿宋"/>
          <w:color w:val="000000" w:themeColor="text1"/>
          <w:kern w:val="2"/>
          <w:sz w:val="32"/>
          <w:szCs w:val="32"/>
          <w:lang w:val="en-US" w:eastAsia="zh-CN"/>
          <w14:textFill>
            <w14:solidFill>
              <w14:schemeClr w14:val="tx1"/>
            </w14:solidFill>
          </w14:textFill>
        </w:rPr>
      </w:pP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color w:val="000000" w:themeColor="text1"/>
          <w:kern w:val="2"/>
          <w:sz w:val="32"/>
          <w:szCs w:val="32"/>
          <w:lang w:val="en-US" w:eastAsia="zh-CN"/>
          <w14:textFill>
            <w14:solidFill>
              <w14:schemeClr w14:val="tx1"/>
            </w14:solidFill>
          </w14:textFill>
        </w:rPr>
      </w:pPr>
      <w:r>
        <w:rPr>
          <w:rFonts w:hint="eastAsia" w:ascii="楷体_GB2312" w:hAnsi="Times New Roman" w:eastAsia="楷体_GB2312" w:cs="楷体_GB2312"/>
          <w:b/>
          <w:bCs/>
          <w:color w:val="000000" w:themeColor="text1"/>
          <w:kern w:val="2"/>
          <w:sz w:val="32"/>
          <w:szCs w:val="32"/>
          <w:lang w:val="en-US" w:eastAsia="zh-CN"/>
          <w14:textFill>
            <w14:solidFill>
              <w14:schemeClr w14:val="tx1"/>
            </w14:solidFill>
          </w14:textFill>
        </w:rPr>
        <w:t>（四）重点绩效评价结果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color w:val="000000" w:themeColor="text1"/>
          <w:kern w:val="0"/>
          <w:sz w:val="32"/>
          <w:szCs w:val="32"/>
          <w:lang w:val="en-US" w:eastAsia="zh-CN"/>
          <w14:textFill>
            <w14:solidFill>
              <w14:schemeClr w14:val="tx1"/>
            </w14:solidFill>
          </w14:textFill>
        </w:rPr>
        <w:sectPr>
          <w:pgSz w:w="11906" w:h="16838"/>
          <w:pgMar w:top="1440" w:right="1803" w:bottom="1440" w:left="1803" w:header="850" w:footer="992" w:gutter="0"/>
          <w:pgNumType w:fmt="numberInDash"/>
          <w:cols w:space="720" w:num="1"/>
          <w:docGrid w:type="lines" w:linePitch="317" w:charSpace="0"/>
        </w:sectPr>
      </w:pPr>
      <w:r>
        <w:rPr>
          <w:rFonts w:hint="eastAsia" w:ascii="仿宋" w:hAnsi="仿宋" w:eastAsia="仿宋" w:cs="仿宋"/>
          <w:color w:val="000000" w:themeColor="text1"/>
          <w:kern w:val="0"/>
          <w:sz w:val="32"/>
          <w:szCs w:val="32"/>
          <w:lang w:val="en-US" w:eastAsia="zh-CN"/>
          <w14:textFill>
            <w14:solidFill>
              <w14:schemeClr w14:val="tx1"/>
            </w14:solidFill>
          </w14:textFill>
        </w:rPr>
        <w:t>我部门2024年度未开展预算项目重点绩效评价，财政部门也未选取我部门2024年度预算项目开展财政重点评价。</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color w:val="000000" w:themeColor="text1"/>
          <w:sz w:val="48"/>
          <w:szCs w:val="48"/>
          <w:lang w:val="en-US" w:eastAsia="zh-CN"/>
          <w14:textFill>
            <w14:solidFill>
              <w14:schemeClr w14:val="tx1"/>
            </w14:solidFill>
          </w14:textFill>
        </w:rPr>
      </w:pPr>
      <w:r>
        <w:rPr>
          <w:rFonts w:hint="eastAsia" w:ascii="黑体" w:hAnsi="黑体" w:eastAsia="黑体" w:cs="黑体"/>
          <w:color w:val="000000" w:themeColor="text1"/>
          <w:sz w:val="48"/>
          <w:szCs w:val="48"/>
          <w:lang w:val="en-US" w:eastAsia="zh-CN"/>
          <w14:textFill>
            <w14:solidFill>
              <w14:schemeClr w14:val="tx1"/>
            </w14:solidFill>
          </w14:textFill>
        </w:rPr>
        <w:t>第四部分  名词解释</w:t>
      </w:r>
    </w:p>
    <w:p>
      <w:pPr>
        <w:keepNext w:val="0"/>
        <w:keepLines w:val="0"/>
        <w:pageBreakBefore w:val="0"/>
        <w:kinsoku/>
        <w:wordWrap w:val="0"/>
        <w:overflowPunct/>
        <w:topLinePunct w:val="0"/>
        <w:autoSpaceDE/>
        <w:autoSpaceDN/>
        <w:bidi w:val="0"/>
        <w:jc w:val="center"/>
        <w:rPr>
          <w:rFonts w:hint="eastAsia" w:ascii="黑体" w:hAnsi="黑体" w:eastAsia="黑体" w:cs="黑体"/>
          <w:color w:val="000000" w:themeColor="text1"/>
          <w:sz w:val="48"/>
          <w:szCs w:val="48"/>
          <w:lang w:val="en-US" w:eastAsia="zh-CN"/>
          <w14:textFill>
            <w14:solidFill>
              <w14:schemeClr w14:val="tx1"/>
            </w14:solidFill>
          </w14:textFill>
        </w:rPr>
      </w:pP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八、</w:t>
      </w:r>
      <w:r>
        <w:rPr>
          <w:rFonts w:ascii="仿宋_GB2312" w:hAnsi="仿宋_GB2312" w:eastAsia="仿宋_GB2312" w:cs="仿宋_GB2312"/>
          <w:color w:val="000000" w:themeColor="text1"/>
          <w:sz w:val="32"/>
          <w:szCs w:val="32"/>
          <w:lang w:val="en-US" w:eastAsia="zh-CN"/>
          <w14:textFill>
            <w14:solidFill>
              <w14:schemeClr w14:val="tx1"/>
            </w14:solidFill>
          </w14:textFill>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十一</w:t>
      </w:r>
      <w:r>
        <w:rPr>
          <w:rFonts w:ascii="仿宋_GB2312" w:hAnsi="仿宋_GB2312" w:eastAsia="仿宋_GB2312" w:cs="仿宋_GB2312"/>
          <w:color w:val="000000" w:themeColor="text1"/>
          <w:sz w:val="32"/>
          <w:szCs w:val="32"/>
          <w:lang w:val="en-US" w:eastAsia="zh-CN"/>
          <w14:textFill>
            <w14:solidFill>
              <w14:schemeClr w14:val="tx1"/>
            </w14:solidFill>
          </w14:textFill>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十五、</w:t>
      </w:r>
      <w:r>
        <w:rPr>
          <w:rFonts w:ascii="仿宋_GB2312" w:hAnsi="仿宋_GB2312" w:eastAsia="仿宋_GB2312" w:cs="仿宋_GB2312"/>
          <w:color w:val="000000" w:themeColor="text1"/>
          <w:sz w:val="32"/>
          <w:szCs w:val="32"/>
          <w:lang w:val="en-US" w:eastAsia="zh-CN"/>
          <w14:textFill>
            <w14:solidFill>
              <w14:schemeClr w14:val="tx1"/>
            </w14:solidFill>
          </w14:textFill>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十六、年末结转和</w:t>
      </w:r>
      <w:r>
        <w:rPr>
          <w:rFonts w:ascii="仿宋_GB2312" w:hAnsi="仿宋_GB2312" w:eastAsia="仿宋_GB2312" w:cs="仿宋_GB2312"/>
          <w:color w:val="000000" w:themeColor="text1"/>
          <w:sz w:val="32"/>
          <w:szCs w:val="32"/>
          <w:lang w:val="en-US" w:eastAsia="zh-CN"/>
          <w14:textFill>
            <w14:solidFill>
              <w14:schemeClr w14:val="tx1"/>
            </w14:solidFill>
          </w14:textFill>
        </w:rPr>
        <w:t>结余</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：指</w:t>
      </w:r>
      <w:r>
        <w:rPr>
          <w:rFonts w:ascii="仿宋_GB2312" w:hAnsi="仿宋_GB2312" w:eastAsia="仿宋_GB2312" w:cs="仿宋_GB2312"/>
          <w:color w:val="000000" w:themeColor="text1"/>
          <w:sz w:val="32"/>
          <w:szCs w:val="32"/>
          <w:lang w:val="en-US" w:eastAsia="zh-CN"/>
          <w14:textFill>
            <w14:solidFill>
              <w14:schemeClr w14:val="tx1"/>
            </w14:solidFill>
          </w14:textFill>
        </w:rPr>
        <w:t>单位按有关规定结转到下年或以后年度</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继续</w:t>
      </w:r>
      <w:r>
        <w:rPr>
          <w:rFonts w:ascii="仿宋_GB2312" w:hAnsi="仿宋_GB2312" w:eastAsia="仿宋_GB2312" w:cs="仿宋_GB2312"/>
          <w:color w:val="000000" w:themeColor="text1"/>
          <w:sz w:val="32"/>
          <w:szCs w:val="32"/>
          <w:lang w:val="en-US" w:eastAsia="zh-CN"/>
          <w14:textFill>
            <w14:solidFill>
              <w14:schemeClr w14:val="tx1"/>
            </w14:solidFill>
          </w14:textFill>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color w:val="000000" w:themeColor="text1"/>
          <w:sz w:val="32"/>
          <w:szCs w:val="32"/>
          <w:lang w:val="en-US" w:eastAsia="zh-CN"/>
          <w14:textFill>
            <w14:solidFill>
              <w14:schemeClr w14:val="tx1"/>
            </w14:solidFill>
          </w14:textFill>
        </w:rPr>
        <w:t>充电</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费</w:t>
      </w:r>
      <w:r>
        <w:rPr>
          <w:rFonts w:ascii="仿宋_GB2312" w:hAnsi="仿宋_GB2312" w:eastAsia="仿宋_GB2312" w:cs="仿宋_GB2312"/>
          <w:color w:val="000000" w:themeColor="text1"/>
          <w:sz w:val="32"/>
          <w:szCs w:val="32"/>
          <w:lang w:val="en-US" w:eastAsia="zh-CN"/>
          <w14:textFill>
            <w14:solidFill>
              <w14:schemeClr w14:val="tx1"/>
            </w14:solidFill>
          </w14:textFill>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p>
      <w:pPr>
        <w:keepNext w:val="0"/>
        <w:keepLines w:val="0"/>
        <w:pageBreakBefore w:val="0"/>
        <w:kinsoku/>
        <w:wordWrap w:val="0"/>
        <w:overflowPunct/>
        <w:topLinePunct w:val="0"/>
        <w:autoSpaceDE/>
        <w:autoSpaceDN/>
        <w:bidi w:val="0"/>
        <w:jc w:val="center"/>
        <w:outlineLvl w:val="0"/>
        <w:rPr>
          <w:rFonts w:ascii="黑体" w:hAnsi="黑体" w:eastAsia="黑体" w:cs="黑体"/>
          <w:color w:val="000000" w:themeColor="text1"/>
          <w:sz w:val="48"/>
          <w:szCs w:val="48"/>
          <w:lang w:val="en-US" w:eastAsia="zh-CN"/>
          <w14:textFill>
            <w14:solidFill>
              <w14:schemeClr w14:val="tx1"/>
            </w14:solidFill>
          </w14:textFill>
        </w:rPr>
      </w:pPr>
    </w:p>
    <w:p>
      <w:pPr>
        <w:keepNext w:val="0"/>
        <w:keepLines w:val="0"/>
        <w:pageBreakBefore w:val="0"/>
        <w:kinsoku/>
        <w:wordWrap w:val="0"/>
        <w:overflowPunct/>
        <w:topLinePunct w:val="0"/>
        <w:autoSpaceDE/>
        <w:autoSpaceDN/>
        <w:bidi w:val="0"/>
        <w:jc w:val="center"/>
        <w:outlineLvl w:val="0"/>
        <w:rPr>
          <w:rFonts w:ascii="黑体" w:hAnsi="黑体" w:eastAsia="黑体" w:cs="黑体"/>
          <w:color w:val="000000" w:themeColor="text1"/>
          <w:sz w:val="48"/>
          <w:szCs w:val="48"/>
          <w:lang w:val="en-US" w:eastAsia="zh-CN"/>
          <w14:textFill>
            <w14:solidFill>
              <w14:schemeClr w14:val="tx1"/>
            </w14:solidFill>
          </w14:textFill>
        </w:rPr>
      </w:pPr>
    </w:p>
    <w:p>
      <w:pPr>
        <w:keepNext w:val="0"/>
        <w:keepLines w:val="0"/>
        <w:pageBreakBefore w:val="0"/>
        <w:kinsoku/>
        <w:wordWrap w:val="0"/>
        <w:overflowPunct/>
        <w:topLinePunct w:val="0"/>
        <w:autoSpaceDE/>
        <w:autoSpaceDN/>
        <w:bidi w:val="0"/>
        <w:jc w:val="center"/>
        <w:outlineLvl w:val="0"/>
        <w:rPr>
          <w:rFonts w:ascii="黑体" w:hAnsi="黑体" w:eastAsia="黑体" w:cs="黑体"/>
          <w:color w:val="000000" w:themeColor="text1"/>
          <w:sz w:val="48"/>
          <w:szCs w:val="48"/>
          <w:lang w:val="en-US" w:eastAsia="zh-CN"/>
          <w14:textFill>
            <w14:solidFill>
              <w14:schemeClr w14:val="tx1"/>
            </w14:solidFill>
          </w14:textFill>
        </w:rPr>
      </w:pPr>
    </w:p>
    <w:p>
      <w:pPr>
        <w:keepNext w:val="0"/>
        <w:keepLines w:val="0"/>
        <w:pageBreakBefore w:val="0"/>
        <w:kinsoku/>
        <w:wordWrap w:val="0"/>
        <w:overflowPunct/>
        <w:topLinePunct w:val="0"/>
        <w:autoSpaceDE/>
        <w:autoSpaceDN/>
        <w:bidi w:val="0"/>
        <w:jc w:val="center"/>
        <w:outlineLvl w:val="0"/>
        <w:rPr>
          <w:rFonts w:ascii="黑体" w:hAnsi="黑体" w:eastAsia="黑体" w:cs="黑体"/>
          <w:color w:val="000000" w:themeColor="text1"/>
          <w:sz w:val="48"/>
          <w:szCs w:val="48"/>
          <w:lang w:val="en-US" w:eastAsia="zh-CN"/>
          <w14:textFill>
            <w14:solidFill>
              <w14:schemeClr w14:val="tx1"/>
            </w14:solidFill>
          </w14:textFill>
        </w:rPr>
      </w:pPr>
    </w:p>
    <w:p>
      <w:pPr>
        <w:keepNext w:val="0"/>
        <w:keepLines w:val="0"/>
        <w:pageBreakBefore w:val="0"/>
        <w:kinsoku/>
        <w:wordWrap w:val="0"/>
        <w:overflowPunct/>
        <w:topLinePunct w:val="0"/>
        <w:autoSpaceDE/>
        <w:autoSpaceDN/>
        <w:bidi w:val="0"/>
        <w:jc w:val="center"/>
        <w:outlineLvl w:val="0"/>
        <w:rPr>
          <w:rFonts w:ascii="黑体" w:hAnsi="黑体" w:eastAsia="黑体" w:cs="黑体"/>
          <w:color w:val="000000" w:themeColor="text1"/>
          <w:sz w:val="48"/>
          <w:szCs w:val="48"/>
          <w:lang w:val="en-US" w:eastAsia="zh-CN"/>
          <w14:textFill>
            <w14:solidFill>
              <w14:schemeClr w14:val="tx1"/>
            </w14:solidFill>
          </w14:textFill>
        </w:rPr>
      </w:pP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CC"/>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decorative"/>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华文中宋">
    <w:altName w:val="汉仪中宋简"/>
    <w:panose1 w:val="02010600040101010101"/>
    <w:charset w:val="86"/>
    <w:family w:val="auto"/>
    <w:pitch w:val="default"/>
    <w:sig w:usb0="00000000" w:usb1="0000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86"/>
    <w:family w:val="decorative"/>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AOyRX8yAEAAJkDAAAOAAAAAAAA&#10;AAEAIAAAADQBAABkcnMvZTJvRG9jLnhtbFBLBQYAAAAABgAGAFkBAABuBQ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C2yfvDywEAAJwDAAAOAAAA&#10;AAAAAAEAIAAAADQBAABkcnMvZTJvRG9jLnhtbFBLBQYAAAAABgAGAFkBAABxBQ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6vosvJAQAAmQMAAA4AAABkcnMv&#10;ZTJvRG9jLnhtbK1TzY7TMBC+I/EOlu/UaZG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q+iy8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53208E"/>
    <w:multiLevelType w:val="singleLevel"/>
    <w:tmpl w:val="0053208E"/>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nforcement="0"/>
  <w:defaultTabStop w:val="420"/>
  <w:evenAndOddHeaders w:val="1"/>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ˇˉ―‖’”…∶、。〃々〉》」』】〕〗！＂＇），．：；？］｀｜｝～￠"/>
  <w:hdrShapeDefaults>
    <o:shapelayout v:ext="edit">
      <o:idmap v:ext="edit" data="3,4"/>
    </o:shapelayout>
  </w:hdrShapeDefaults>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22431D2"/>
    <w:rsid w:val="304D5511"/>
    <w:rsid w:val="31B86E4D"/>
    <w:rsid w:val="434B08FA"/>
    <w:rsid w:val="57D36DE8"/>
    <w:rsid w:val="68FF1A5E"/>
    <w:rsid w:val="F77F7068"/>
  </w:rsids>
  <m:mathPr>
    <m:brkBin m:val="before"/>
    <m:brkBinSub m:val="--"/>
    <m:smallFrac m:val="0"/>
    <m:dispDef/>
    <m:lMargin m:val="0"/>
    <m:rMargin m:val="0"/>
    <m:defJc m:val="centerGroup"/>
    <m:wrapIndent m:val="1440"/>
    <m:intLim m:val="subSup"/>
    <m:naryLim m:val="undOvr"/>
  </m:mathPr>
  <w:uiCompat97To2003/>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nhideWhenUsed="0" w:uiPriority="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semiHidden/>
    <w:qFormat/>
    <w:uiPriority w:val="0"/>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customStyle="1" w:styleId="5">
    <w:name w:val="默认段落字体1"/>
    <w:unhideWhenUsed/>
    <w:qFormat/>
    <w:uiPriority w:val="1"/>
  </w:style>
  <w:style w:type="table" w:customStyle="1" w:styleId="6">
    <w:name w:val="普通表格1"/>
    <w:unhideWhenUsed/>
    <w:qFormat/>
    <w:uiPriority w:val="99"/>
    <w:tblPr>
      <w:tblCellMar>
        <w:top w:w="0" w:type="dxa"/>
        <w:left w:w="108" w:type="dxa"/>
        <w:bottom w:w="0" w:type="dxa"/>
        <w:right w:w="108" w:type="dxa"/>
      </w:tblCellMar>
    </w:tblPr>
  </w:style>
  <w:style w:type="paragraph" w:customStyle="1" w:styleId="7">
    <w:name w:val="批注框文本1"/>
    <w:basedOn w:val="1"/>
    <w:link w:val="8"/>
    <w:unhideWhenUsed/>
    <w:qFormat/>
    <w:uiPriority w:val="99"/>
    <w:pPr>
      <w:jc w:val="both"/>
    </w:pPr>
    <w:rPr>
      <w:sz w:val="18"/>
      <w:szCs w:val="18"/>
      <w:lang w:val="en-US" w:eastAsia="zh-CN"/>
    </w:rPr>
  </w:style>
  <w:style w:type="character" w:customStyle="1" w:styleId="8">
    <w:name w:val="批注框文本 Char"/>
    <w:link w:val="7"/>
    <w:semiHidden/>
    <w:qFormat/>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qFormat/>
    <w:uiPriority w:val="99"/>
    <w:rPr>
      <w:kern w:val="2"/>
      <w:sz w:val="18"/>
      <w:szCs w:val="18"/>
    </w:rPr>
  </w:style>
  <w:style w:type="paragraph" w:customStyle="1" w:styleId="11">
    <w:name w:val="页眉1"/>
    <w:basedOn w:val="1"/>
    <w:link w:val="12"/>
    <w:unhideWhenUsed/>
    <w:qFormat/>
    <w:uiPriority w:val="99"/>
    <w:pPr>
      <w:pBdr>
        <w:bottom w:val="single" w:color="auto" w:sz="6" w:space="1"/>
      </w:pBdr>
      <w:tabs>
        <w:tab w:val="center" w:pos="4153"/>
        <w:tab w:val="right" w:pos="8306"/>
      </w:tabs>
      <w:snapToGrid w:val="0"/>
      <w:jc w:val="center"/>
    </w:pPr>
    <w:rPr>
      <w:sz w:val="18"/>
      <w:szCs w:val="18"/>
      <w:lang w:val="en-US" w:eastAsia="zh-CN"/>
    </w:rPr>
  </w:style>
  <w:style w:type="character" w:customStyle="1" w:styleId="12">
    <w:name w:val="页眉 Char"/>
    <w:link w:val="11"/>
    <w:qFormat/>
    <w:uiPriority w:val="99"/>
    <w:rPr>
      <w:kern w:val="2"/>
      <w:sz w:val="18"/>
      <w:szCs w:val="18"/>
    </w:rPr>
  </w:style>
  <w:style w:type="paragraph" w:customStyle="1" w:styleId="13">
    <w:name w:val="普通(网站)1"/>
    <w:basedOn w:val="1"/>
    <w:unhideWhenUsed/>
    <w:qFormat/>
    <w:uiPriority w:val="99"/>
    <w:pPr>
      <w:jc w:val="both"/>
    </w:pPr>
    <w:rPr>
      <w:sz w:val="24"/>
      <w:lang w:val="en-US" w:eastAsia="zh-CN"/>
    </w:rPr>
  </w:style>
  <w:style w:type="table" w:customStyle="1" w:styleId="14">
    <w:name w:val="网格型1"/>
    <w:basedOn w:val="6"/>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5">
    <w:name w:val="已访问的超链接1"/>
    <w:unhideWhenUsed/>
    <w:qFormat/>
    <w:uiPriority w:val="99"/>
    <w:rPr>
      <w:color w:val="800080"/>
      <w:u w:val="single"/>
    </w:rPr>
  </w:style>
  <w:style w:type="character" w:customStyle="1" w:styleId="16">
    <w:name w:val="超链接1"/>
    <w:unhideWhenUsed/>
    <w:qFormat/>
    <w:uiPriority w:val="99"/>
    <w:rPr>
      <w:color w:val="0000FF"/>
      <w:u w:val="single"/>
    </w:rPr>
  </w:style>
  <w:style w:type="character" w:customStyle="1" w:styleId="17">
    <w:name w:val="font01"/>
    <w:qFormat/>
    <w:uiPriority w:val="0"/>
    <w:rPr>
      <w:rFonts w:hint="eastAsia" w:ascii="宋体" w:hAnsi="宋体" w:eastAsia="宋体" w:cs="宋体"/>
      <w:color w:val="000000"/>
      <w:sz w:val="22"/>
      <w:szCs w:val="22"/>
      <w:u w:val="none"/>
    </w:rPr>
  </w:style>
  <w:style w:type="character" w:customStyle="1" w:styleId="18">
    <w:name w:val="font21"/>
    <w:basedOn w:val="4"/>
    <w:qFormat/>
    <w:uiPriority w:val="0"/>
    <w:rPr>
      <w:rFonts w:hint="eastAsia" w:ascii="宋体" w:hAnsi="宋体" w:eastAsia="宋体" w:cs="宋体"/>
      <w:color w:val="000000"/>
      <w:sz w:val="22"/>
      <w:szCs w:val="22"/>
      <w:u w:val="none"/>
    </w:rPr>
  </w:style>
  <w:style w:type="character" w:customStyle="1" w:styleId="19">
    <w:name w:val="font51"/>
    <w:qFormat/>
    <w:uiPriority w:val="0"/>
    <w:rPr>
      <w:rFonts w:hint="eastAsia" w:ascii="宋体" w:hAnsi="宋体" w:eastAsia="宋体" w:cs="宋体"/>
      <w:color w:val="000000"/>
      <w:sz w:val="24"/>
      <w:szCs w:val="24"/>
      <w:u w:val="none"/>
    </w:rPr>
  </w:style>
  <w:style w:type="character" w:customStyle="1" w:styleId="20">
    <w:name w:val="font11"/>
    <w:basedOn w:val="4"/>
    <w:qFormat/>
    <w:uiPriority w:val="0"/>
    <w:rPr>
      <w:rFonts w:hint="eastAsia" w:ascii="宋体" w:hAnsi="宋体" w:eastAsia="宋体" w:cs="宋体"/>
      <w:color w:val="000000"/>
      <w:sz w:val="20"/>
      <w:szCs w:val="20"/>
      <w:u w:val="none"/>
    </w:rPr>
  </w:style>
  <w:style w:type="character" w:customStyle="1" w:styleId="21">
    <w:name w:val="font41"/>
    <w:qFormat/>
    <w:uiPriority w:val="0"/>
    <w:rPr>
      <w:rFonts w:hint="eastAsia" w:ascii="宋体" w:hAnsi="宋体" w:eastAsia="宋体" w:cs="宋体"/>
      <w:color w:val="000000"/>
      <w:sz w:val="24"/>
      <w:szCs w:val="24"/>
      <w:u w:val="none"/>
    </w:rPr>
  </w:style>
  <w:style w:type="character" w:customStyle="1" w:styleId="22">
    <w:name w:val="font31"/>
    <w:basedOn w:val="4"/>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34</Pages>
  <Words>4729</Words>
  <Characters>7670</Characters>
  <Lines>1</Lines>
  <Paragraphs>1</Paragraphs>
  <TotalTime>4</TotalTime>
  <ScaleCrop>false</ScaleCrop>
  <LinksUpToDate>false</LinksUpToDate>
  <CharactersWithSpaces>8284</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2007-11-29T19:41:00Z</dcterms:created>
  <dc:creator>管理者</dc:creator>
  <cp:lastModifiedBy>dcczj</cp:lastModifiedBy>
  <cp:lastPrinted>2025-08-01T00:04:00Z</cp:lastPrinted>
  <dcterms:modified xsi:type="dcterms:W3CDTF">2025-12-30T14:25:03Z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eyJoZGlkIjoiZjg2MDlkMTQ4ZGM4OTlkMzNjNmJlODMxMzMyODAxN2IiLCJ1c2VySWQiOiI1Mzg5OTY0NjcifQ==</vt:lpwstr>
  </property>
  <property fmtid="{D5CDD505-2E9C-101B-9397-08002B2CF9AE}" pid="4" name="ICV">
    <vt:lpwstr>F160E5A609F54CA3B45F2302882E447C_13</vt:lpwstr>
  </property>
</Properties>
</file>