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郸城县直机关工作委员会部门决算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郸城县直机关工作委员会概况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第一部分郸城县直机关工作委员会概况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1．负责制订县直机关党的建设规划，并组织实施。</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2．指导县直机关各级党组织抓好党的思想，组织，作风建设和基层党员干部的整治理论培训，同时开展形式多样的党员教育工作。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3．指导县直机关各级党组织配合行政领导做好思想教育工作。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4．指导县直机关党组织加强党风和廉政建设。</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5．根据县委授予的权限，审批和报批县直机关和企事业单位党组织的设置，党组织领导班子的组成及书记、副书记的职务任免。</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6．领导县直机关各部门机关党的纪律检查工作。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7．指导县直各级党组织做好党员发展工作，审批直属党（总）支部党员发展和预备党员转正。</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8．指导县直各机关党委的工作。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9．完成县委交办的其他工作。</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郸城县直机关工作委员会内设机构</w:t>
      </w:r>
      <w:r>
        <w:rPr>
          <w:rFonts w:hint="eastAsia" w:ascii="仿宋_GB2312" w:hAnsi="宋体" w:eastAsia="仿宋_GB2312" w:cs="Courier New"/>
          <w:kern w:val="0"/>
          <w:sz w:val="32"/>
          <w:szCs w:val="32"/>
          <w:lang w:val="en-US" w:eastAsia="zh-CN"/>
        </w:rPr>
        <w:t>2</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办公室、综合股。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从决算单位构成看，郸城县直机关工作委员会部门决算为本级决算。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郸城县直机关工作委员会本级，无二级决算单位。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642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收入</w:t>
            </w:r>
          </w:p>
        </w:tc>
        <w:tc>
          <w:tcPr>
            <w:tcW w:w="6404"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行次</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金额</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行次</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一、一般公共预算财政拨款收入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一、一般公共服务支出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二、政府性基金预算财政拨款收入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二、外交支出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三、国有资本经营预算财政拨款收入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三、国防支出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四、上级补助收入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四、公共安全支出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五、事业收入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五、教育支出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六、经营收入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六、科学技术支出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七、附属单位上缴收入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七、文化旅游体育与传媒支出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八、其他收入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八、社会保障和就业支出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九、卫生健康支出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十、节能环保支出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十一、城乡社区支出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十二、农林水支出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十三、交通运输支出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十四、资源勘探工业信息等支出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十五、商业服务业等支出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十六、金融支出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17</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十七、援助其他地区支出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18</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十八、自然资源海洋气象等支出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十九、住房保障支出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二十、粮油物资储备支出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二十一、国有资本经营预算支出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二十二、灾害防治及应急管理支出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二十三、其他支出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二十四、债务还本支出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二十五、债务付息支出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二十六、抗疫特别国债安排的支出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本年收入合计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本年支出合计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使用非财政拨款结余（含专用结余）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结余分配</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年初结转和结余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29</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年末结转和结余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1"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18"/>
          <w:szCs w:val="18"/>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本年收入合计</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财政拨款收入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上级补助收入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事业收入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经营收入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附属单位上缴收入</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科目编码</w:t>
            </w:r>
          </w:p>
        </w:tc>
        <w:tc>
          <w:tcPr>
            <w:tcW w:w="24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合计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一般公共服务支出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党委办公厅（室）及相关机构事务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10" w:hRule="atLeas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行政运行</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9026"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18"/>
          <w:szCs w:val="18"/>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本年支出合计</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基本支出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上缴上级支出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经营支出</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科目编码</w:t>
            </w:r>
          </w:p>
        </w:tc>
        <w:tc>
          <w:tcPr>
            <w:tcW w:w="2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合计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一般公共服务支出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党委办公厅（室）及相关机构事务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行政运行</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44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收     入</w:t>
            </w:r>
          </w:p>
        </w:tc>
        <w:tc>
          <w:tcPr>
            <w:tcW w:w="83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19" w:hRule="exact"/>
          <w:jc w:val="center"/>
        </w:trPr>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金额</w:t>
            </w:r>
          </w:p>
        </w:tc>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合计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一般公共预算财政拨款</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政府性基金预算财政拨款</w:t>
            </w:r>
          </w:p>
        </w:tc>
        <w:tc>
          <w:tcPr>
            <w:tcW w:w="134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5" w:hRule="exact"/>
          <w:jc w:val="center"/>
        </w:trPr>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4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一、一般公共服务支出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二、外交支出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三、国有资本经营预算财政拨款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三、国防支出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四、公共安全支出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五、教育支出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六、科学技术支出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七、文化旅游体育与传媒支出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八、社会保障和就业支出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九、卫生健康支出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十、节能环保支出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十一、城乡社区支出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十二、农林水支出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十三、交通运输支出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十四、资源勘探工业信息等支出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十五、商业服务业等支出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十六、金融支出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十七、援助其他地区支出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十八、自然资源海洋气象等支出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十九、住房保障支出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二十、粮油物资储备支出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二十一、国有资本经营预算支出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二十二、灾害防治及应急管理支出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二十三、其他支出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二十四、债务还本支出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二十五、债务付息支出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二十六、抗疫特别国债安排的支出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本年收入合计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本年支出合计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年初财政拨款结转和结余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年末财政拨款结转和结余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i w:val="0"/>
                <w:color w:val="000000"/>
                <w:kern w:val="2"/>
                <w:sz w:val="18"/>
                <w:szCs w:val="18"/>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18"/>
          <w:szCs w:val="18"/>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w:t>
            </w:r>
          </w:p>
        </w:tc>
        <w:tc>
          <w:tcPr>
            <w:tcW w:w="4306"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科目编码</w:t>
            </w:r>
          </w:p>
        </w:tc>
        <w:tc>
          <w:tcPr>
            <w:tcW w:w="37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小计</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基本支出</w:t>
            </w:r>
          </w:p>
        </w:tc>
        <w:tc>
          <w:tcPr>
            <w:tcW w:w="142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栏次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合计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一般公共服务支出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党委办公厅（室）及相关机构事务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2013101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行政运行</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95.89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40" w:hRule="atLeast"/>
          <w:jc w:val="center"/>
        </w:trPr>
        <w:tc>
          <w:tcPr>
            <w:tcW w:w="9026"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5000" w:type="pct"/>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autofit"/>
        <w:tblCellMar>
          <w:top w:w="0" w:type="dxa"/>
          <w:left w:w="80" w:type="dxa"/>
          <w:bottom w:w="0" w:type="dxa"/>
          <w:right w:w="80" w:type="dxa"/>
        </w:tblCellMar>
      </w:tblPr>
      <w:tblGrid>
        <w:gridCol w:w="7455"/>
        <w:gridCol w:w="2571"/>
        <w:gridCol w:w="2958"/>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tblHeader/>
          <w:jc w:val="center"/>
        </w:trPr>
        <w:tc>
          <w:tcPr>
            <w:tcW w:w="5000" w:type="pct"/>
            <w:gridSpan w:val="3"/>
            <w:noWrap w:val="0"/>
            <w:vAlign w:val="center"/>
          </w:tcPr>
          <w:p>
            <w:pPr>
              <w:keepNext w:val="0"/>
              <w:keepLines w:val="0"/>
              <w:pageBreakBefore w:val="0"/>
              <w:widowControl w:val="0"/>
              <w:kinsoku/>
              <w:wordWrap/>
              <w:overflowPunct/>
              <w:topLinePunct w:val="0"/>
              <w:autoSpaceDE/>
              <w:autoSpaceDN/>
              <w:bidi w:val="0"/>
              <w:adjustRightInd/>
              <w:snapToGrid w:val="0"/>
              <w:ind w:left="0" w:leftChars="0" w:right="0" w:rightChars="0" w:firstLine="0" w:firstLineChars="0"/>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2871" w:type="pct"/>
            <w:noWrap w:val="0"/>
            <w:vAlign w:val="center"/>
          </w:tcPr>
          <w:p>
            <w:pPr>
              <w:keepNext w:val="0"/>
              <w:keepLines w:val="0"/>
              <w:pageBreakBefore w:val="0"/>
              <w:widowControl w:val="0"/>
              <w:kinsoku/>
              <w:wordWrap/>
              <w:overflowPunct/>
              <w:topLinePunct w:val="0"/>
              <w:autoSpaceDE/>
              <w:autoSpaceDN/>
              <w:bidi w:val="0"/>
              <w:adjustRightInd/>
              <w:snapToGrid w:val="0"/>
              <w:ind w:left="0" w:leftChars="0" w:right="0" w:rightChars="0" w:firstLine="0" w:firstLineChars="0"/>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部门：郸城县直机关工作委员会</w:t>
            </w:r>
          </w:p>
        </w:tc>
        <w:tc>
          <w:tcPr>
            <w:tcW w:w="990" w:type="pct"/>
            <w:noWrap w:val="0"/>
            <w:vAlign w:val="center"/>
          </w:tcPr>
          <w:p>
            <w:pPr>
              <w:keepNext w:val="0"/>
              <w:keepLines w:val="0"/>
              <w:pageBreakBefore w:val="0"/>
              <w:widowControl w:val="0"/>
              <w:kinsoku/>
              <w:wordWrap/>
              <w:overflowPunct/>
              <w:topLinePunct w:val="0"/>
              <w:autoSpaceDE/>
              <w:autoSpaceDN/>
              <w:bidi w:val="0"/>
              <w:adjustRightInd/>
              <w:snapToGrid w:val="0"/>
              <w:ind w:left="0" w:leftChars="0" w:right="0" w:rightChars="0" w:firstLine="0" w:firstLineChars="0"/>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2024年度</w:t>
            </w:r>
          </w:p>
        </w:tc>
        <w:tc>
          <w:tcPr>
            <w:tcW w:w="1137" w:type="pct"/>
            <w:noWrap w:val="0"/>
            <w:vAlign w:val="center"/>
          </w:tcPr>
          <w:p>
            <w:pPr>
              <w:keepNext w:val="0"/>
              <w:keepLines w:val="0"/>
              <w:pageBreakBefore w:val="0"/>
              <w:widowControl w:val="0"/>
              <w:kinsoku/>
              <w:wordWrap/>
              <w:overflowPunct/>
              <w:topLinePunct w:val="0"/>
              <w:autoSpaceDE/>
              <w:autoSpaceDN/>
              <w:bidi w:val="0"/>
              <w:adjustRightInd/>
              <w:snapToGrid w:val="0"/>
              <w:ind w:left="0" w:leftChars="0" w:right="0" w:rightChars="0" w:firstLine="0" w:firstLineChars="0"/>
              <w:jc w:val="center"/>
              <w:rPr>
                <w:rFonts w:ascii="Times New Roman" w:hAnsi="Times New Roman" w:eastAsia="宋体" w:cs="Times New Roman"/>
                <w:kern w:val="2"/>
                <w:sz w:val="18"/>
                <w:szCs w:val="18"/>
                <w:lang w:val="en-US" w:eastAsia="zh-CN" w:bidi="ar-SA"/>
              </w:rPr>
            </w:pPr>
            <w:r>
              <w:rPr>
                <w:rFonts w:ascii="宋体" w:hAnsi="宋体" w:eastAsia="宋体" w:cs="宋体"/>
                <w:kern w:val="2"/>
                <w:sz w:val="18"/>
                <w:szCs w:val="18"/>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8"/>
          <w:szCs w:val="18"/>
          <w:lang w:val="en-US" w:eastAsia="zh-CN"/>
        </w:rPr>
      </w:pPr>
      <w:r>
        <w:rPr>
          <w:sz w:val="18"/>
          <w:szCs w:val="1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人员经费</w:t>
            </w:r>
          </w:p>
        </w:tc>
        <w:tc>
          <w:tcPr>
            <w:tcW w:w="86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12" w:hRule="atLeast"/>
          <w:jc w:val="center"/>
        </w:trPr>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经济分类科目编码</w:t>
            </w:r>
          </w:p>
        </w:tc>
        <w:tc>
          <w:tcPr>
            <w:tcW w:w="2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科目名称</w:t>
            </w:r>
          </w:p>
        </w:tc>
        <w:tc>
          <w:tcPr>
            <w:tcW w:w="96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12" w:hRule="atLeast"/>
          <w:jc w:val="center"/>
        </w:trPr>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67.43</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28.46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债务利息及费用支出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基本工资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40.25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办公费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7.89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30701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国内债务付息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津贴补贴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印刷费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1.18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30702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国外债务付息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奖金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咨询费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伙食补助费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手续费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房屋建筑物购建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绩效工资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办公设备购置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机关事业单位基本养老保险缴费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8.76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专用设备购置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职业年金缴费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1.49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邮电费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31005</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基础设施建设</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职工基本医疗保险缴费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5.70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取暖费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31006</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大型修缮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公务员医疗补助缴费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物业管理费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信息网络及软件购置更新</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其他社会保障缴费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3.56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差旅费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物资储备</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住房公积金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7.68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因公出国（境）费用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土地补偿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医疗费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维修（护）费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安置补助</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30199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租赁费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31011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地上附着物和青苗补偿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会议费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31012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拆迁补偿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离休费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培训费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31013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公务用车购置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退休费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公务接待费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31019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其他交通工具购置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退职（役）费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30218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专用材料费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14.04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31021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文物和陈列品购置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抚恤金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被装购置费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31022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无形资产购置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生活补助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专用燃料费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31099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救济费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劳务费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0.36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医疗费补助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委托业务费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国家赔偿费用支出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助学金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工会经费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对民间非营利组织和群众性自治组织补贴</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奖励金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30229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福利费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经常性赠与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个人农业生产补贴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30231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公务用车运行维护费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资本性赠与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代缴社会保险费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30239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其他交通费用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39999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30399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30240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税金及附加费用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30299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 xml:space="preserve">  其他商品和服务支出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1.94</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8"/>
                <w:szCs w:val="18"/>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31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人员经费合计</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67.43</w:t>
            </w:r>
          </w:p>
        </w:tc>
        <w:tc>
          <w:tcPr>
            <w:tcW w:w="7720" w:type="dxa"/>
            <w:gridSpan w:val="5"/>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公用经费合计</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28.46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7" w:hRule="atLeas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8"/>
                <w:szCs w:val="18"/>
                <w:lang w:val="en-US" w:eastAsia="zh-CN" w:bidi="ar-SA"/>
              </w:rPr>
            </w:pPr>
            <w:r>
              <w:rPr>
                <w:rFonts w:ascii="宋体" w:hAnsi="宋体" w:eastAsia="宋体" w:cs="宋体"/>
                <w:b w:val="0"/>
                <w:i w:val="0"/>
                <w:color w:val="000000"/>
                <w:kern w:val="2"/>
                <w:sz w:val="18"/>
                <w:szCs w:val="18"/>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18"/>
          <w:szCs w:val="18"/>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部门：郸城县直机关工作委员会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6960"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42" w:hRule="exact"/>
          <w:jc w:val="center"/>
        </w:trPr>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95.89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与上年度相比，收、支总计各增加4.19万元，增长4.56%，主要原因是保险类基数调整，增加社保公积金支出。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95.89</w:t>
      </w:r>
      <w:r>
        <w:rPr>
          <w:rFonts w:hint="eastAsia" w:ascii="仿宋_GB2312" w:hAnsi="仿宋_GB2312" w:eastAsia="仿宋_GB2312" w:cs="仿宋_GB2312"/>
          <w:sz w:val="32"/>
          <w:szCs w:val="32"/>
          <w:lang w:val="en-US" w:eastAsia="zh-CN"/>
        </w:rPr>
        <w:t>万元，其中：财政拨款收入95.89万元，占100.00%。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95.89</w:t>
      </w:r>
      <w:r>
        <w:rPr>
          <w:rFonts w:hint="eastAsia" w:ascii="仿宋_GB2312" w:hAnsi="仿宋_GB2312" w:eastAsia="仿宋_GB2312" w:cs="仿宋_GB2312"/>
          <w:sz w:val="32"/>
          <w:szCs w:val="32"/>
          <w:lang w:val="en-US" w:eastAsia="zh-CN"/>
        </w:rPr>
        <w:t>万元，其中：基本支出95.89万元，占100.00%。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95.89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与上年度相比，财政拨款收、支总计各增加4.19万元，增长4.56%，主要原因是保险类基数调整，增加社保公积金支出。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2024年度一般公共预算财政拨款支出95.89万元，占支出合计的100.00%。与上年度相比，一般公共预算财政拨款支出增加4.19万元，增长4.56%，主要原因是保险类基数调整，增加社保公积金支出。</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年度一般公共预算财政拨款支出95.89万元，主要用于以下方面：一般公共服务（类）支出95.89万元，占100.00%。</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95.89</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95.89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一般公共服务支出（类）党委办公厅（室）及相关机构事务（款）行政运行（项）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95.89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95.89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95.89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67.43</w:t>
      </w:r>
      <w:r>
        <w:rPr>
          <w:rFonts w:hint="eastAsia" w:ascii="仿宋_GB2312" w:hAnsi="仿宋_GB2312" w:eastAsia="仿宋_GB2312" w:cs="仿宋_GB2312"/>
          <w:sz w:val="32"/>
          <w:szCs w:val="32"/>
          <w:lang w:val="en-US" w:eastAsia="zh-CN"/>
        </w:rPr>
        <w:t>万元，主要包括：基本工资、机关事业单位基本养老保险缴费、职业年金缴费、职工基本医疗保险缴费、其他社会保障缴费、住房公积金；公用经费</w:t>
      </w:r>
      <w:r>
        <w:rPr>
          <w:rFonts w:hint="eastAsia" w:ascii="仿宋_GB2312" w:hAnsi="Times New Roman" w:eastAsia="仿宋_GB2312"/>
          <w:sz w:val="32"/>
          <w:szCs w:val="32"/>
          <w:lang w:val="en-US" w:eastAsia="zh-CN"/>
        </w:rPr>
        <w:t>28.46</w:t>
      </w:r>
      <w:r>
        <w:rPr>
          <w:rFonts w:hint="eastAsia" w:ascii="仿宋_GB2312" w:hAnsi="仿宋_GB2312" w:eastAsia="仿宋_GB2312" w:cs="仿宋_GB2312"/>
          <w:sz w:val="32"/>
          <w:szCs w:val="32"/>
          <w:lang w:val="en-US" w:eastAsia="zh-CN"/>
        </w:rPr>
        <w:t>万元，主要包括：办公费、印刷费、维修（护）费、专用材料费、劳务费、其他商品和服务支出。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2024年度机关运行经费支出28.46万元，比2023年减少5.54万元，下降16.31%。主要原因是本年度没有开展庆七一系列活动。</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2.35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tbl>
      <w:tblPr>
        <w:tblStyle w:val="2"/>
        <w:tblW w:w="513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18"/>
        <w:gridCol w:w="576"/>
        <w:gridCol w:w="1002"/>
        <w:gridCol w:w="981"/>
        <w:gridCol w:w="979"/>
        <w:gridCol w:w="984"/>
        <w:gridCol w:w="979"/>
        <w:gridCol w:w="673"/>
        <w:gridCol w:w="678"/>
        <w:gridCol w:w="11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6</w:t>
            </w:r>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59" w:type="pct"/>
            <w:gridSpan w:val="8"/>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2023社保公积金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134"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郸城县直机关工作委员会</w:t>
            </w: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2002" w:type="pct"/>
            <w:gridSpan w:val="4"/>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郸城县直机关工作委员会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573" w:type="pct"/>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561"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6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7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w:t>
            </w:r>
            <w:r>
              <w:rPr>
                <w:rStyle w:val="21"/>
                <w:sz w:val="18"/>
                <w:szCs w:val="18"/>
                <w:lang w:val="en-US" w:eastAsia="zh-CN" w:bidi="ar"/>
              </w:rPr>
              <w:t xml:space="preserve"> 年度资金总额：</w:t>
            </w:r>
          </w:p>
        </w:tc>
        <w:tc>
          <w:tcPr>
            <w:tcW w:w="561"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w:t>
            </w:r>
          </w:p>
        </w:tc>
        <w:tc>
          <w:tcPr>
            <w:tcW w:w="56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7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61"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w:t>
            </w:r>
          </w:p>
        </w:tc>
        <w:tc>
          <w:tcPr>
            <w:tcW w:w="56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7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61"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73"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61"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2"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57"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134"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057"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134"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7"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134"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7"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134"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7"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134" w:type="pct"/>
            <w:gridSpan w:val="2"/>
            <w:tcBorders>
              <w:top w:val="single" w:color="000000" w:sz="4" w:space="0"/>
              <w:left w:val="nil"/>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122" w:type="pct"/>
            <w:gridSpan w:val="2"/>
            <w:tcBorders>
              <w:top w:val="single" w:color="000000" w:sz="4" w:space="0"/>
              <w:left w:val="single" w:color="000000" w:sz="4" w:space="0"/>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057" w:type="pct"/>
            <w:gridSpan w:val="2"/>
            <w:tcBorders>
              <w:top w:val="single" w:color="000000" w:sz="4" w:space="0"/>
              <w:left w:val="nil"/>
              <w:bottom w:val="single" w:color="000000" w:sz="4" w:space="0"/>
              <w:right w:val="single" w:color="000000" w:sz="4" w:space="0"/>
            </w:tcBorders>
            <w:noWrap/>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463"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125" w:type="pct"/>
            <w:gridSpan w:val="6"/>
            <w:tcBorders>
              <w:top w:val="single" w:color="000000" w:sz="4" w:space="0"/>
              <w:left w:val="single" w:color="000000" w:sz="4" w:space="0"/>
              <w:bottom w:val="single" w:color="000000" w:sz="4" w:space="0"/>
              <w:right w:val="single" w:color="000000" w:sz="4" w:space="0"/>
            </w:tcBorders>
            <w:noWrap/>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463" w:type="pct"/>
            <w:gridSpan w:val="3"/>
            <w:tcBorders>
              <w:top w:val="single" w:color="000000" w:sz="4" w:space="0"/>
              <w:left w:val="single" w:color="000000" w:sz="4" w:space="0"/>
              <w:bottom w:val="single" w:color="000000" w:sz="4" w:space="0"/>
              <w:right w:val="single" w:color="000000" w:sz="4" w:space="0"/>
            </w:tcBorders>
            <w:noWrap w:val="0"/>
            <w:vAlign w:val="top"/>
          </w:tcPr>
          <w:p>
            <w:pPr>
              <w:keepNext/>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单位社保公积金预算指标不足，申请补足指标</w:t>
            </w:r>
          </w:p>
        </w:tc>
        <w:tc>
          <w:tcPr>
            <w:tcW w:w="3125" w:type="pct"/>
            <w:gridSpan w:val="6"/>
            <w:tcBorders>
              <w:top w:val="single" w:color="000000" w:sz="4" w:space="0"/>
              <w:left w:val="single" w:color="000000" w:sz="4" w:space="0"/>
              <w:bottom w:val="single" w:color="000000" w:sz="4" w:space="0"/>
              <w:right w:val="single" w:color="000000" w:sz="4" w:space="0"/>
            </w:tcBorders>
            <w:noWrap/>
            <w:vAlign w:val="top"/>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32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13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6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6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6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8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8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6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29"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113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社保资金申请金额</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≤2.53万元</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缴纳人数</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≥7人</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社保缴纳足额率</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缴纳及时性</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加强职工社会保障</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加强</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1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329"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1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职工满意度</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jc w:val="center"/>
        </w:trPr>
        <w:tc>
          <w:tcPr>
            <w:tcW w:w="2997"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387"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snapToGrid w:val="0"/>
              <w:jc w:val="center"/>
              <w:rPr>
                <w:rFonts w:hint="eastAsia" w:ascii="宋体" w:hAnsi="宋体" w:eastAsia="宋体" w:cs="宋体"/>
                <w:i w:val="0"/>
                <w:iCs w:val="0"/>
                <w:color w:val="000000"/>
                <w:sz w:val="18"/>
                <w:szCs w:val="18"/>
                <w:u w:val="none"/>
              </w:rPr>
            </w:pPr>
          </w:p>
        </w:tc>
      </w:tr>
    </w:tbl>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98</w:t>
      </w:r>
      <w:r>
        <w:rPr>
          <w:rFonts w:hint="eastAsia" w:ascii="仿宋" w:hAnsi="仿宋" w:eastAsia="仿宋" w:cs="仿宋"/>
          <w:kern w:val="2"/>
          <w:sz w:val="32"/>
          <w:szCs w:val="32"/>
          <w:lang w:val="en-US" w:eastAsia="zh-CN"/>
        </w:rPr>
        <w:t>分。从自评情况看，各项工作总体完成情况较好，部门履职效能进一步提升。</w:t>
      </w:r>
    </w:p>
    <w:tbl>
      <w:tblPr>
        <w:tblStyle w:val="2"/>
        <w:tblW w:w="513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43"/>
        <w:gridCol w:w="846"/>
        <w:gridCol w:w="1251"/>
        <w:gridCol w:w="804"/>
        <w:gridCol w:w="800"/>
        <w:gridCol w:w="861"/>
        <w:gridCol w:w="529"/>
        <w:gridCol w:w="445"/>
        <w:gridCol w:w="807"/>
        <w:gridCol w:w="902"/>
        <w:gridCol w:w="8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w:t>
            </w:r>
            <w:r>
              <w:rPr>
                <w:rFonts w:hint="eastAsia" w:ascii="宋体" w:hAnsi="宋体" w:cs="宋体"/>
                <w:i w:val="0"/>
                <w:iCs w:val="0"/>
                <w:color w:val="000000"/>
                <w:kern w:val="0"/>
                <w:sz w:val="18"/>
                <w:szCs w:val="18"/>
                <w:u w:val="none"/>
                <w:lang w:val="en-US" w:eastAsia="zh-CN" w:bidi="ar"/>
              </w:rPr>
              <w:t>6</w:t>
            </w:r>
            <w:bookmarkStart w:id="0" w:name="_GoBack"/>
            <w:bookmarkEnd w:id="0"/>
            <w:r>
              <w:rPr>
                <w:rFonts w:hint="eastAsia" w:ascii="宋体" w:hAnsi="宋体" w:eastAsia="宋体" w:cs="宋体"/>
                <w:i w:val="0"/>
                <w:iCs w:val="0"/>
                <w:color w:val="000000"/>
                <w:kern w:val="0"/>
                <w:sz w:val="18"/>
                <w:szCs w:val="18"/>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565" w:type="pct"/>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343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郸城县直机关工作委员会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1197" w:type="pct"/>
            <w:gridSpan w:val="2"/>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8"/>
                <w:szCs w:val="18"/>
                <w:u w:val="none"/>
              </w:rPr>
            </w:pP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4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79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71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11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51.65</w:t>
            </w:r>
          </w:p>
        </w:tc>
        <w:tc>
          <w:tcPr>
            <w:tcW w:w="4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95.05</w:t>
            </w:r>
          </w:p>
        </w:tc>
        <w:tc>
          <w:tcPr>
            <w:tcW w:w="79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91.97</w:t>
            </w:r>
          </w:p>
        </w:tc>
        <w:tc>
          <w:tcPr>
            <w:tcW w:w="71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96.76 %</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11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资金来源：（1）财政拨款</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51.65</w:t>
            </w:r>
          </w:p>
        </w:tc>
        <w:tc>
          <w:tcPr>
            <w:tcW w:w="4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94.78</w:t>
            </w:r>
          </w:p>
        </w:tc>
        <w:tc>
          <w:tcPr>
            <w:tcW w:w="79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91.7</w:t>
            </w:r>
          </w:p>
        </w:tc>
        <w:tc>
          <w:tcPr>
            <w:tcW w:w="71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96.75 %</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11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（2）财政专户管理资金</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79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71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11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（3）单位资金</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5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0.27</w:t>
            </w:r>
          </w:p>
        </w:tc>
        <w:tc>
          <w:tcPr>
            <w:tcW w:w="79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0.27</w:t>
            </w:r>
          </w:p>
        </w:tc>
        <w:tc>
          <w:tcPr>
            <w:tcW w:w="71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2114"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51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2114" w:type="pct"/>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目标1：实现党员凝聚力，提高凝聚力，服务全县人民工作；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目标2：实现精准发力，党员干部冲在工作第一线工作；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目标3：实现提高党员干部集体素养工作；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目标4：实现党建引领，全面加强队伍建设工作；</w:t>
            </w:r>
          </w:p>
        </w:tc>
        <w:tc>
          <w:tcPr>
            <w:tcW w:w="2518" w:type="pct"/>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圆满完成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5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163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251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1：做好年度发展党员工作。</w:t>
            </w:r>
          </w:p>
        </w:tc>
        <w:tc>
          <w:tcPr>
            <w:tcW w:w="163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1：2022年入党积极分子、预备党员培训班及时开展。</w:t>
            </w:r>
          </w:p>
        </w:tc>
        <w:tc>
          <w:tcPr>
            <w:tcW w:w="251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根据查阅2023年工作完成情况， 做好年度发展党员工作完成率达到百分之百，完成年初制定的任务。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2：提高党务干部业务水平。</w:t>
            </w:r>
          </w:p>
        </w:tc>
        <w:tc>
          <w:tcPr>
            <w:tcW w:w="163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2：开展党务干部业务培训，业务考核。</w:t>
            </w:r>
          </w:p>
        </w:tc>
        <w:tc>
          <w:tcPr>
            <w:tcW w:w="251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根据查阅2023年工作完成情况， 提高党务干部业务水平工作完成率达到百分之百，完成年初制定的任务。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3：做好年度党员党费交纳工作</w:t>
            </w:r>
          </w:p>
        </w:tc>
        <w:tc>
          <w:tcPr>
            <w:tcW w:w="163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3：组织各党委、总支、支部做好党费基数审核、交纳。</w:t>
            </w:r>
          </w:p>
        </w:tc>
        <w:tc>
          <w:tcPr>
            <w:tcW w:w="251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根据查阅2023年工作完成情况，做好年度党员党费交纳工作完成率达到百分之百，完成年初制定的任务。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5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4：县委县政府交办的其他工作</w:t>
            </w:r>
          </w:p>
        </w:tc>
        <w:tc>
          <w:tcPr>
            <w:tcW w:w="163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4：县委县政府交办的其他工作，包括疫情防控、文明城市创建、脱贫攻坚等等。</w:t>
            </w:r>
          </w:p>
        </w:tc>
        <w:tc>
          <w:tcPr>
            <w:tcW w:w="2518"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根据查阅2023年工作完成情况，县委县政府交办的其他工作完成率达到百分之百，完成年初制定的任务。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4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84.03%</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740.30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年中追加预算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3.24%</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提高党务干部业务水平工作完成率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做好年度党员党费交纳工作完成率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县委县政府交办的其他工作完成率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做好年度发展党员工作完成率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党员凝聚力，提高凝聚力，服务全县人民工作实现率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精准发力，党员干部冲在工作第一线工作实现率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提高党员干部集体素养工作实现率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党建引领，全面加强队伍建设工作实现率</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4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提升我县党建工作质量</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提升</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改善党员发展工作</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6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4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县直单位满意度</w:t>
            </w:r>
          </w:p>
        </w:tc>
        <w:tc>
          <w:tcPr>
            <w:tcW w:w="91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4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9" w:hRule="atLeast"/>
          <w:jc w:val="center"/>
        </w:trPr>
        <w:tc>
          <w:tcPr>
            <w:tcW w:w="2973"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3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60"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c>
          <w:tcPr>
            <w:tcW w:w="1009"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8"/>
                <w:szCs w:val="18"/>
                <w:u w:val="none"/>
              </w:rPr>
            </w:pPr>
          </w:p>
        </w:tc>
      </w:tr>
    </w:tbl>
    <w:p>
      <w:pPr>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20" w:lineRule="exact"/>
        <w:ind w:right="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重点绩效评价结果</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outlineLvl w:val="2"/>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华文中宋">
    <w:altName w:val="汉仪中宋简"/>
    <w:panose1 w:val="02010600040101010101"/>
    <w:charset w:val="00"/>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8B6450"/>
    <w:multiLevelType w:val="singleLevel"/>
    <w:tmpl w:val="A28B6450"/>
    <w:lvl w:ilvl="0" w:tentative="0">
      <w:start w:val="4"/>
      <w:numFmt w:val="chineseCounting"/>
      <w:suff w:val="nothing"/>
      <w:lvlText w:val="（%1）"/>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7109E1"/>
    <w:rsid w:val="10216CB5"/>
    <w:rsid w:val="45687B0A"/>
    <w:rsid w:val="4E8E2BD6"/>
    <w:rsid w:val="62B965EC"/>
    <w:rsid w:val="6DBFF17B"/>
    <w:rsid w:val="9F1DDE9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qFormat/>
    <w:uiPriority w:val="99"/>
    <w:rPr>
      <w:color w:val="0000FF"/>
      <w:u w:val="single"/>
    </w:rPr>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qFormat/>
    <w:uiPriority w:val="0"/>
    <w:rPr>
      <w:rFonts w:hint="eastAsia" w:ascii="宋体" w:hAnsi="宋体" w:eastAsia="宋体" w:cs="宋体"/>
      <w:color w:val="000000"/>
      <w:sz w:val="22"/>
      <w:szCs w:val="22"/>
      <w:u w:val="none"/>
    </w:rPr>
  </w:style>
  <w:style w:type="character" w:customStyle="1" w:styleId="17">
    <w:name w:val="font21"/>
    <w:qFormat/>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qFormat/>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28</Pages>
  <Words>7218</Words>
  <Characters>9068</Characters>
  <Lines>1</Lines>
  <Paragraphs>1</Paragraphs>
  <TotalTime>15</TotalTime>
  <ScaleCrop>false</ScaleCrop>
  <LinksUpToDate>false</LinksUpToDate>
  <CharactersWithSpaces>9583</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2025-12-30T14:33:54Z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eyJoZGlkIjoiMTQ0N2JlOTEyZWIyZTRmOTVkZTQ2YzY0MmY0YmMxYTAiLCJ1c2VySWQiOiIzMzczNzcwOTYifQ==</vt:lpwstr>
  </property>
  <property fmtid="{D5CDD505-2E9C-101B-9397-08002B2CF9AE}" pid="4" name="ICV">
    <vt:lpwstr>63E05DFF7400FE9FFAB63269F3B542D6</vt:lpwstr>
  </property>
</Properties>
</file>