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郸城县人民代表大会常务委员会部门决算</w:t>
      </w:r>
    </w:p>
    <w:p>
      <w:pPr>
        <w:keepNext w:val="0"/>
        <w:keepLines w:val="0"/>
        <w:pageBreakBefore w:val="0"/>
        <w:kinsoku/>
        <w:wordWrap/>
        <w:overflowPunct/>
        <w:topLinePunct w:val="0"/>
        <w:autoSpaceDE/>
        <w:autoSpaceDN/>
        <w:bidi w:val="0"/>
        <w:adjustRightInd/>
        <w:jc w:val="center"/>
        <w:rPr>
          <w:rFonts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hint="eastAsia" w:ascii="黑体" w:hAnsi="黑体" w:eastAsia="黑体" w:cs="黑体"/>
          <w:sz w:val="52"/>
          <w:szCs w:val="52"/>
          <w:lang w:val="en-US" w:eastAsia="zh-CN"/>
        </w:rPr>
      </w:pPr>
    </w:p>
    <w:p>
      <w:pPr>
        <w:keepNext w:val="0"/>
        <w:keepLines w:val="0"/>
        <w:pageBreakBefore w:val="0"/>
        <w:kinsoku/>
        <w:wordWrap/>
        <w:overflowPunct/>
        <w:topLinePunct w:val="0"/>
        <w:autoSpaceDE/>
        <w:autoSpaceDN/>
        <w:bidi w:val="0"/>
        <w:adjustRightInd/>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overflowPunct/>
        <w:topLinePunct w:val="0"/>
        <w:autoSpaceDE/>
        <w:autoSpaceDN/>
        <w:bidi w:val="0"/>
        <w:adjustRightInd/>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overflowPunct/>
        <w:topLinePunct w:val="0"/>
        <w:autoSpaceDE/>
        <w:autoSpaceDN/>
        <w:bidi w:val="0"/>
        <w:adjustRightInd/>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overflowPunct/>
        <w:topLinePunct w:val="0"/>
        <w:autoSpaceDE/>
        <w:autoSpaceDN/>
        <w:bidi w:val="0"/>
        <w:adjustRightInd/>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郸城县人民代表大会常务委员会概况</w:t>
      </w:r>
    </w:p>
    <w:p>
      <w:pPr>
        <w:keepNext w:val="0"/>
        <w:keepLines w:val="0"/>
        <w:pageBreakBefore w:val="0"/>
        <w:numPr>
          <w:ilvl w:val="0"/>
          <w:numId w:val="1"/>
        </w:numPr>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overflowPunct/>
        <w:topLinePunct w:val="0"/>
        <w:autoSpaceDE/>
        <w:autoSpaceDN/>
        <w:bidi w:val="0"/>
        <w:adjustRightInd/>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overflowPunct/>
        <w:topLinePunct w:val="0"/>
        <w:autoSpaceDE/>
        <w:autoSpaceDN/>
        <w:bidi w:val="0"/>
        <w:adjustRightInd/>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overflowPunct/>
        <w:topLinePunct w:val="0"/>
        <w:autoSpaceDE/>
        <w:autoSpaceDN/>
        <w:bidi w:val="0"/>
        <w:adjustRightInd/>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overflowPunct/>
        <w:topLinePunct w:val="0"/>
        <w:autoSpaceDE/>
        <w:autoSpaceDN/>
        <w:bidi w:val="0"/>
        <w:adjustRightInd/>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overflowPunct/>
        <w:topLinePunct w:val="0"/>
        <w:autoSpaceDE/>
        <w:autoSpaceDN/>
        <w:bidi w:val="0"/>
        <w:adjustRightInd/>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郸城县人民代表大会常务委员会概况</w:t>
      </w:r>
    </w:p>
    <w:p>
      <w:pPr>
        <w:keepNext w:val="0"/>
        <w:keepLines w:val="0"/>
        <w:pageBreakBefore w:val="0"/>
        <w:widowControl/>
        <w:kinsoku/>
        <w:wordWrap/>
        <w:overflowPunct/>
        <w:topLinePunct w:val="0"/>
        <w:autoSpaceDE/>
        <w:autoSpaceDN/>
        <w:bidi w:val="0"/>
        <w:adjustRightInd/>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(一)对全国、省、市人大下发的法律、法规草案，组织征求意见，并整理修改意见上报。</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(二)对提交县人代会审议的本辖区国民经济和社会发展计划草案、预算草案进行审查并提出报告；对计划、预算执行情况进行初审并对计划、预算的部分变更提出审查报告。</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(三)对县人大常委会讨论、决定的本区政治、经济、教育、科学、文化、卫生、民政、民族工作等重大事项进行调查研究并提出初步意见。</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(四)对宪法、法律、行政法规和本县制定的法规的执行情况组织视察和检查。</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(五)对本县经济和社会生活中的重大问题及人民群众普遍关心的“热点”问题组织调查研究、视察和检查。</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(六)组织人大代表评议县“一府两院”的工作。</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(七)督促县人代会期间代表议案、意见和建议的办理工作。</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(八)办理县人大常委会任免范围内的干部任免手续。</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(九)组织县人大代表的选举和市人大代表的选举。</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(十)联系县人大代表，组织代表视察、检查和接访选民活动，督促代表视察、检查和接访活动中提出意见、建议的办理工作。</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(十一)联系在郸城工作的全国人大代表及省、市人大代表，协助开展视察活动。</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(十二)负责县人代会、县人大常委会、主任会议等会议的组织和服务工作。</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(十三)负责县人大常委会文件、报告的起草、印发，常委会公报、人大工作简报等的编辑印发和人大工作的宣传报道。</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(十四)受理人民群众的来信来访。</w:t>
      </w:r>
    </w:p>
    <w:p>
      <w:pPr>
        <w:keepNext w:val="0"/>
        <w:keepLines w:val="0"/>
        <w:pageBreakBefore w:val="0"/>
        <w:widowControl/>
        <w:shd w:val="clear" w:color="auto" w:fill="auto"/>
        <w:kinsoku/>
        <w:wordWrap/>
        <w:overflowPunct/>
        <w:topLinePunct w:val="0"/>
        <w:autoSpaceDE/>
        <w:autoSpaceDN/>
        <w:bidi w:val="0"/>
        <w:adjustRightInd/>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(十五)负责全国人大和内地省、市、县人大来郸城参观接待工作。</w:t>
      </w:r>
    </w:p>
    <w:p>
      <w:pPr>
        <w:keepNext w:val="0"/>
        <w:keepLines w:val="0"/>
        <w:pageBreakBefore w:val="0"/>
        <w:widowControl/>
        <w:kinsoku/>
        <w:wordWrap/>
        <w:overflowPunct/>
        <w:topLinePunct w:val="0"/>
        <w:autoSpaceDE/>
        <w:autoSpaceDN/>
        <w:bidi w:val="0"/>
        <w:adjustRightInd/>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郸城县人民代表大会常务委员会内设机构</w:t>
      </w:r>
      <w:r>
        <w:rPr>
          <w:rFonts w:hint="eastAsia" w:ascii="仿宋_GB2312" w:hAnsi="宋体" w:eastAsia="仿宋_GB2312" w:cs="Courier New"/>
          <w:kern w:val="0"/>
          <w:sz w:val="32"/>
          <w:szCs w:val="32"/>
          <w:lang w:val="en-US" w:eastAsia="zh-CN"/>
        </w:rPr>
        <w:t>6</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 xml:space="preserve">   办公室、农工委、财工委、文工委、法工委、选工委。</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从决算单位构成看，郸城县人民代表大会常务委员会部门决算为本级决算。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郸城县人民代表大会常务委员会本级，无二级决算单位。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0"/>
                <w:szCs w:val="20"/>
                <w:lang w:val="en-US" w:eastAsia="zh-CN" w:bidi="ar-SA"/>
              </w:rPr>
            </w:pPr>
            <w:r>
              <w:rPr>
                <w:rFonts w:ascii="宋体" w:hAnsi="宋体" w:eastAsia="宋体" w:cs="宋体"/>
                <w:kern w:val="2"/>
                <w:sz w:val="20"/>
                <w:szCs w:val="20"/>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0"/>
                <w:szCs w:val="20"/>
                <w:lang w:val="en-US" w:eastAsia="zh-CN" w:bidi="ar-SA"/>
              </w:rPr>
            </w:pPr>
            <w:r>
              <w:rPr>
                <w:rFonts w:ascii="宋体" w:hAnsi="宋体" w:eastAsia="宋体" w:cs="宋体"/>
                <w:kern w:val="2"/>
                <w:sz w:val="20"/>
                <w:szCs w:val="20"/>
                <w:lang w:val="en-US" w:eastAsia="zh-CN" w:bidi="ar-SA"/>
              </w:rPr>
              <w:t>部门：郸城县人民代表大会常务委员会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0"/>
                <w:szCs w:val="20"/>
                <w:lang w:val="en-US" w:eastAsia="zh-CN" w:bidi="ar-SA"/>
              </w:rPr>
            </w:pPr>
            <w:r>
              <w:rPr>
                <w:rFonts w:ascii="宋体" w:hAnsi="宋体" w:eastAsia="宋体" w:cs="宋体"/>
                <w:kern w:val="2"/>
                <w:sz w:val="20"/>
                <w:szCs w:val="20"/>
                <w:lang w:val="en-US" w:eastAsia="zh-CN" w:bidi="ar-SA"/>
              </w:rPr>
              <w:t>2024年度</w:t>
            </w:r>
          </w:p>
        </w:tc>
        <w:tc>
          <w:tcPr>
            <w:tcW w:w="5412"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0"/>
                <w:szCs w:val="20"/>
                <w:lang w:val="en-US" w:eastAsia="zh-CN" w:bidi="ar-SA"/>
              </w:rPr>
            </w:pPr>
            <w:r>
              <w:rPr>
                <w:rFonts w:ascii="宋体" w:hAnsi="宋体" w:eastAsia="宋体" w:cs="宋体"/>
                <w:kern w:val="2"/>
                <w:sz w:val="20"/>
                <w:szCs w:val="20"/>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sz w:val="20"/>
          <w:szCs w:val="20"/>
          <w:lang w:val="en-US" w:eastAsia="zh-CN"/>
        </w:rPr>
      </w:pPr>
      <w:r>
        <w:rPr>
          <w:sz w:val="20"/>
          <w:szCs w:val="20"/>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收入</w:t>
            </w:r>
          </w:p>
        </w:tc>
        <w:tc>
          <w:tcPr>
            <w:tcW w:w="6404"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项目</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行次</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金额</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项目</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行次</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栏次</w:t>
            </w:r>
          </w:p>
        </w:tc>
        <w:tc>
          <w:tcPr>
            <w:tcW w:w="5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栏次</w:t>
            </w:r>
          </w:p>
        </w:tc>
        <w:tc>
          <w:tcPr>
            <w:tcW w:w="5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一、一般公共预算财政拨款收入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444.63</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一、一般公共服务支出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31</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390.34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二、政府性基金预算财政拨款收入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二、外交支出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32</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三、国有资本经营预算财政拨款收入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三、国防支出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33</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四、上级补助收入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四、公共安全支出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34</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五、事业收入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5</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五、教育支出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35</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六、经营收入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6</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六、科学技术支出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36</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七、附属单位上缴收入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7</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七、文化旅游体育与传媒支出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37</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八、其他收入</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8</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八、社会保障和就业支出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38</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42.79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9</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九、卫生健康支出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39</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10</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十、节能环保支出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40</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十一、城乡社区支出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41</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12</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十二、农林水支出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42</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13</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十三、交通运输支出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43</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14</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十四、资源勘探工业信息等支出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44</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15</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十五、商业服务业等支出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45</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16</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十六、金融支出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46</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17</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十七、援助其他地区支出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47</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18</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十八、自然资源海洋气象等支出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48</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19</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十九、住房保障支出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49</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二十、粮油物资储备支出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50</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21</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二十一、国有资本经营预算支出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51</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22</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二十二、灾害防治及应急管理支出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52</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23</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二十三、其他支出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53</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24</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二十四、债务还本支出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54</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25</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二十五、债务付息支出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55</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26</w:t>
            </w:r>
          </w:p>
        </w:tc>
        <w:tc>
          <w:tcPr>
            <w:tcW w:w="25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二十六、抗疫特别国债安排的支出</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56</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i w:val="0"/>
                <w:color w:val="000000"/>
                <w:kern w:val="2"/>
                <w:sz w:val="20"/>
                <w:szCs w:val="20"/>
                <w:lang w:val="en-US" w:eastAsia="zh-CN" w:bidi="ar-SA"/>
              </w:rPr>
              <w:t>本年收入合计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27</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444.63</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i w:val="0"/>
                <w:color w:val="000000"/>
                <w:kern w:val="2"/>
                <w:sz w:val="20"/>
                <w:szCs w:val="20"/>
                <w:lang w:val="en-US" w:eastAsia="zh-CN" w:bidi="ar-SA"/>
              </w:rPr>
              <w:t>本年支出合计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57</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444.63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使用非财政拨款结余（含专用结余）</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28</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结余分配</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58</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年初结转和结余</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年末结转和结余</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59</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i w:val="0"/>
                <w:color w:val="000000"/>
                <w:kern w:val="2"/>
                <w:sz w:val="20"/>
                <w:szCs w:val="20"/>
                <w:lang w:val="en-US" w:eastAsia="zh-CN" w:bidi="ar-SA"/>
              </w:rPr>
              <w:t>总计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30</w:t>
            </w:r>
          </w:p>
        </w:tc>
        <w:tc>
          <w:tcPr>
            <w:tcW w:w="25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444.63</w:t>
            </w:r>
          </w:p>
        </w:tc>
        <w:tc>
          <w:tcPr>
            <w:tcW w:w="33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i w:val="0"/>
                <w:color w:val="000000"/>
                <w:kern w:val="2"/>
                <w:sz w:val="20"/>
                <w:szCs w:val="20"/>
                <w:lang w:val="en-US" w:eastAsia="zh-CN" w:bidi="ar-SA"/>
              </w:rPr>
              <w:t>总计</w:t>
            </w:r>
          </w:p>
        </w:tc>
        <w:tc>
          <w:tcPr>
            <w:tcW w:w="5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60</w:t>
            </w:r>
          </w:p>
        </w:tc>
        <w:tc>
          <w:tcPr>
            <w:tcW w:w="248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444.63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注：本表反映本年度的总收支和年末结转结余情况。本表金额转换为万元时，因四舍五入可能存在尾差。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0"/>
                <w:szCs w:val="20"/>
                <w:lang w:val="en-US" w:eastAsia="zh-CN" w:bidi="ar-SA"/>
              </w:rPr>
            </w:pPr>
            <w:r>
              <w:rPr>
                <w:rFonts w:ascii="宋体" w:hAnsi="宋体" w:eastAsia="宋体" w:cs="宋体"/>
                <w:kern w:val="2"/>
                <w:sz w:val="20"/>
                <w:szCs w:val="20"/>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0"/>
                <w:szCs w:val="20"/>
                <w:lang w:val="en-US" w:eastAsia="zh-CN" w:bidi="ar-SA"/>
              </w:rPr>
            </w:pPr>
            <w:r>
              <w:rPr>
                <w:rFonts w:ascii="宋体" w:hAnsi="宋体" w:eastAsia="宋体" w:cs="宋体"/>
                <w:kern w:val="2"/>
                <w:sz w:val="20"/>
                <w:szCs w:val="20"/>
                <w:lang w:val="en-US" w:eastAsia="zh-CN" w:bidi="ar-SA"/>
              </w:rPr>
              <w:t>部门：郸城县人民代表大会常务委员会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0"/>
                <w:szCs w:val="20"/>
                <w:lang w:val="en-US" w:eastAsia="zh-CN" w:bidi="ar-SA"/>
              </w:rPr>
            </w:pPr>
            <w:r>
              <w:rPr>
                <w:rFonts w:ascii="宋体" w:hAnsi="宋体" w:eastAsia="宋体" w:cs="宋体"/>
                <w:kern w:val="2"/>
                <w:sz w:val="20"/>
                <w:szCs w:val="20"/>
                <w:lang w:val="en-US" w:eastAsia="zh-CN" w:bidi="ar-SA"/>
              </w:rPr>
              <w:t>2024年度</w:t>
            </w:r>
          </w:p>
        </w:tc>
        <w:tc>
          <w:tcPr>
            <w:tcW w:w="3513"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0"/>
                <w:szCs w:val="20"/>
                <w:lang w:val="en-US" w:eastAsia="zh-CN" w:bidi="ar-SA"/>
              </w:rPr>
            </w:pPr>
            <w:r>
              <w:rPr>
                <w:rFonts w:ascii="宋体" w:hAnsi="宋体" w:eastAsia="宋体" w:cs="宋体"/>
                <w:kern w:val="2"/>
                <w:sz w:val="20"/>
                <w:szCs w:val="20"/>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sz w:val="20"/>
          <w:szCs w:val="20"/>
          <w:lang w:val="en-US" w:eastAsia="zh-CN"/>
        </w:rPr>
      </w:pPr>
      <w:r>
        <w:rPr>
          <w:sz w:val="20"/>
          <w:szCs w:val="20"/>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23"/>
        <w:gridCol w:w="2137"/>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326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项目</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本年收入合计</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财政拨款收入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上级补助收入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事业收入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经营收入</w:t>
            </w:r>
          </w:p>
        </w:tc>
        <w:tc>
          <w:tcPr>
            <w:tcW w:w="8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附属单位上缴收入</w:t>
            </w:r>
          </w:p>
        </w:tc>
        <w:tc>
          <w:tcPr>
            <w:tcW w:w="846"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1123"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科目编码</w:t>
            </w:r>
          </w:p>
        </w:tc>
        <w:tc>
          <w:tcPr>
            <w:tcW w:w="2137"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科目名称</w:t>
            </w: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1123"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2137"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1123"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2137"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326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栏次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5</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6</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326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合计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444.63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444.63</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112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201</w:t>
            </w:r>
          </w:p>
        </w:tc>
        <w:tc>
          <w:tcPr>
            <w:tcW w:w="213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一般公共服务支出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390.34</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390.34</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112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20101</w:t>
            </w:r>
          </w:p>
        </w:tc>
        <w:tc>
          <w:tcPr>
            <w:tcW w:w="213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人大事务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390.34</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390.34</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112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2010101</w:t>
            </w:r>
          </w:p>
        </w:tc>
        <w:tc>
          <w:tcPr>
            <w:tcW w:w="213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行政运行</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297.38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297.38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112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2010102</w:t>
            </w:r>
          </w:p>
        </w:tc>
        <w:tc>
          <w:tcPr>
            <w:tcW w:w="213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一般行政管理事务</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29.96</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29.96</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112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2010104</w:t>
            </w:r>
          </w:p>
        </w:tc>
        <w:tc>
          <w:tcPr>
            <w:tcW w:w="213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人大会议</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63.00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63.00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112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w:t>
            </w:r>
          </w:p>
        </w:tc>
        <w:tc>
          <w:tcPr>
            <w:tcW w:w="213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社会保障和就业支出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42.79</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42.79</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112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20805</w:t>
            </w:r>
          </w:p>
        </w:tc>
        <w:tc>
          <w:tcPr>
            <w:tcW w:w="213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行政事业单位养老支出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22.78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22.78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112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2080505</w:t>
            </w:r>
          </w:p>
        </w:tc>
        <w:tc>
          <w:tcPr>
            <w:tcW w:w="213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机关事业单位基本养老保险缴费支出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22.78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22.78</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112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20899</w:t>
            </w:r>
          </w:p>
        </w:tc>
        <w:tc>
          <w:tcPr>
            <w:tcW w:w="213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其他社会保障和就业支出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20.01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20.01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112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2089999</w:t>
            </w:r>
          </w:p>
        </w:tc>
        <w:tc>
          <w:tcPr>
            <w:tcW w:w="213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其他社会保障和就业支出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20.01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20.01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112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210</w:t>
            </w:r>
          </w:p>
        </w:tc>
        <w:tc>
          <w:tcPr>
            <w:tcW w:w="213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卫生健康支出</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112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21011</w:t>
            </w:r>
          </w:p>
        </w:tc>
        <w:tc>
          <w:tcPr>
            <w:tcW w:w="213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行政事业单位医疗</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10" w:hRule="exact"/>
          <w:jc w:val="center"/>
        </w:trPr>
        <w:tc>
          <w:tcPr>
            <w:tcW w:w="112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2101101</w:t>
            </w:r>
          </w:p>
        </w:tc>
        <w:tc>
          <w:tcPr>
            <w:tcW w:w="213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行政单位医疗</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2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225" w:hRule="exact"/>
          <w:jc w:val="center"/>
        </w:trPr>
        <w:tc>
          <w:tcPr>
            <w:tcW w:w="9026" w:type="dxa"/>
            <w:gridSpan w:val="9"/>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注：本表反映本年度取得的各项收入情况。本表金额转换为万元时，因四舍五入可能存在尾差。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0"/>
                <w:szCs w:val="20"/>
                <w:lang w:val="en-US" w:eastAsia="zh-CN" w:bidi="ar-SA"/>
              </w:rPr>
            </w:pPr>
            <w:r>
              <w:rPr>
                <w:rFonts w:ascii="宋体" w:hAnsi="宋体" w:eastAsia="宋体" w:cs="宋体"/>
                <w:kern w:val="2"/>
                <w:sz w:val="20"/>
                <w:szCs w:val="20"/>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0"/>
                <w:szCs w:val="20"/>
                <w:lang w:val="en-US" w:eastAsia="zh-CN" w:bidi="ar-SA"/>
              </w:rPr>
            </w:pPr>
            <w:r>
              <w:rPr>
                <w:rFonts w:ascii="宋体" w:hAnsi="宋体" w:eastAsia="宋体" w:cs="宋体"/>
                <w:kern w:val="2"/>
                <w:sz w:val="20"/>
                <w:szCs w:val="20"/>
                <w:lang w:val="en-US" w:eastAsia="zh-CN" w:bidi="ar-SA"/>
              </w:rPr>
              <w:t>部门：郸城县人民代表大会常务委员会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0"/>
                <w:szCs w:val="20"/>
                <w:lang w:val="en-US" w:eastAsia="zh-CN" w:bidi="ar-SA"/>
              </w:rPr>
            </w:pPr>
            <w:r>
              <w:rPr>
                <w:rFonts w:ascii="宋体" w:hAnsi="宋体" w:eastAsia="宋体" w:cs="宋体"/>
                <w:kern w:val="2"/>
                <w:sz w:val="20"/>
                <w:szCs w:val="20"/>
                <w:lang w:val="en-US" w:eastAsia="zh-CN" w:bidi="ar-SA"/>
              </w:rPr>
              <w:t>2024年度</w:t>
            </w:r>
          </w:p>
        </w:tc>
        <w:tc>
          <w:tcPr>
            <w:tcW w:w="3513"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0"/>
                <w:szCs w:val="20"/>
                <w:lang w:val="en-US" w:eastAsia="zh-CN" w:bidi="ar-SA"/>
              </w:rPr>
            </w:pPr>
            <w:r>
              <w:rPr>
                <w:rFonts w:ascii="宋体" w:hAnsi="宋体" w:eastAsia="宋体" w:cs="宋体"/>
                <w:kern w:val="2"/>
                <w:sz w:val="20"/>
                <w:szCs w:val="20"/>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sz w:val="20"/>
          <w:szCs w:val="20"/>
          <w:lang w:val="en-US" w:eastAsia="zh-CN"/>
        </w:rPr>
      </w:pPr>
      <w:r>
        <w:rPr>
          <w:sz w:val="20"/>
          <w:szCs w:val="20"/>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063"/>
        <w:gridCol w:w="2617"/>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36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项目</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本年支出合计</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基本支出</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项目支出</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上缴上级支出</w:t>
            </w:r>
          </w:p>
        </w:tc>
        <w:tc>
          <w:tcPr>
            <w:tcW w:w="9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经营支出</w:t>
            </w:r>
          </w:p>
        </w:tc>
        <w:tc>
          <w:tcPr>
            <w:tcW w:w="846"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1063"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科目编码</w:t>
            </w:r>
          </w:p>
        </w:tc>
        <w:tc>
          <w:tcPr>
            <w:tcW w:w="2617"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科目名称</w:t>
            </w: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1063"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2617"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1063"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2617"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9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84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36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栏次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5</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36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合计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444.63</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351.68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92.96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106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201</w:t>
            </w:r>
          </w:p>
        </w:tc>
        <w:tc>
          <w:tcPr>
            <w:tcW w:w="261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一般公共服务支出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390.34</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297.38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92.96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106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20101</w:t>
            </w:r>
          </w:p>
        </w:tc>
        <w:tc>
          <w:tcPr>
            <w:tcW w:w="261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人大事务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390.34</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297.38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92.96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106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2010101</w:t>
            </w:r>
          </w:p>
        </w:tc>
        <w:tc>
          <w:tcPr>
            <w:tcW w:w="261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行政运行</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297.38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297.38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106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2010102</w:t>
            </w:r>
          </w:p>
        </w:tc>
        <w:tc>
          <w:tcPr>
            <w:tcW w:w="261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一般行政管理事务</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29.96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29.96</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106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2010104</w:t>
            </w:r>
          </w:p>
        </w:tc>
        <w:tc>
          <w:tcPr>
            <w:tcW w:w="261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人大会议</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63.00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63.00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106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w:t>
            </w:r>
          </w:p>
        </w:tc>
        <w:tc>
          <w:tcPr>
            <w:tcW w:w="261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社会保障和就业支出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42.79</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42.79</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106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20805</w:t>
            </w:r>
          </w:p>
        </w:tc>
        <w:tc>
          <w:tcPr>
            <w:tcW w:w="261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行政事业单位养老支出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22.78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22.78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558" w:hRule="exact"/>
          <w:jc w:val="center"/>
        </w:trPr>
        <w:tc>
          <w:tcPr>
            <w:tcW w:w="106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2080505</w:t>
            </w:r>
          </w:p>
        </w:tc>
        <w:tc>
          <w:tcPr>
            <w:tcW w:w="261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机关事业单位基本养老保险缴费支出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22.78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22.78</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106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20899</w:t>
            </w:r>
          </w:p>
        </w:tc>
        <w:tc>
          <w:tcPr>
            <w:tcW w:w="261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其他社会保障和就业支出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20.01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20.01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106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2089999</w:t>
            </w:r>
          </w:p>
        </w:tc>
        <w:tc>
          <w:tcPr>
            <w:tcW w:w="261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其他社会保障和就业支出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20.01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20.01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106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210</w:t>
            </w:r>
          </w:p>
        </w:tc>
        <w:tc>
          <w:tcPr>
            <w:tcW w:w="261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卫生健康支出</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106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21011</w:t>
            </w:r>
          </w:p>
        </w:tc>
        <w:tc>
          <w:tcPr>
            <w:tcW w:w="261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行政事业单位医疗</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454" w:hRule="exact"/>
          <w:jc w:val="center"/>
        </w:trPr>
        <w:tc>
          <w:tcPr>
            <w:tcW w:w="1063"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2101101</w:t>
            </w:r>
          </w:p>
        </w:tc>
        <w:tc>
          <w:tcPr>
            <w:tcW w:w="2617"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行政单位医疗</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9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84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auto"/>
          <w:wAfter w:w="0" w:type="auto"/>
          <w:trHeight w:val="243" w:hRule="exact"/>
          <w:jc w:val="center"/>
        </w:trPr>
        <w:tc>
          <w:tcPr>
            <w:tcW w:w="9026" w:type="dxa"/>
            <w:gridSpan w:val="8"/>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注：本表反映本年度各项支出情况。本表金额转换为万元时，因四舍五入可能存在尾差。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19"/>
                <w:szCs w:val="19"/>
                <w:lang w:val="en-US" w:eastAsia="zh-CN" w:bidi="ar-SA"/>
              </w:rPr>
            </w:pPr>
            <w:r>
              <w:rPr>
                <w:rFonts w:ascii="宋体" w:hAnsi="宋体" w:eastAsia="宋体" w:cs="宋体"/>
                <w:kern w:val="2"/>
                <w:sz w:val="19"/>
                <w:szCs w:val="19"/>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19"/>
                <w:szCs w:val="19"/>
                <w:lang w:val="en-US" w:eastAsia="zh-CN" w:bidi="ar-SA"/>
              </w:rPr>
            </w:pPr>
            <w:r>
              <w:rPr>
                <w:rFonts w:ascii="宋体" w:hAnsi="宋体" w:eastAsia="宋体" w:cs="宋体"/>
                <w:kern w:val="2"/>
                <w:sz w:val="19"/>
                <w:szCs w:val="19"/>
                <w:lang w:val="en-US" w:eastAsia="zh-CN" w:bidi="ar-SA"/>
              </w:rPr>
              <w:t>部门：郸城县人民代表大会常务委员会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19"/>
                <w:szCs w:val="19"/>
                <w:lang w:val="en-US" w:eastAsia="zh-CN" w:bidi="ar-SA"/>
              </w:rPr>
            </w:pPr>
            <w:r>
              <w:rPr>
                <w:rFonts w:ascii="宋体" w:hAnsi="宋体" w:eastAsia="宋体" w:cs="宋体"/>
                <w:kern w:val="2"/>
                <w:sz w:val="19"/>
                <w:szCs w:val="19"/>
                <w:lang w:val="en-US" w:eastAsia="zh-CN" w:bidi="ar-SA"/>
              </w:rPr>
              <w:t>2024年度</w:t>
            </w:r>
          </w:p>
        </w:tc>
        <w:tc>
          <w:tcPr>
            <w:tcW w:w="5412"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19"/>
                <w:szCs w:val="19"/>
                <w:lang w:val="en-US" w:eastAsia="zh-CN" w:bidi="ar-SA"/>
              </w:rPr>
            </w:pPr>
            <w:r>
              <w:rPr>
                <w:rFonts w:ascii="宋体" w:hAnsi="宋体" w:eastAsia="宋体" w:cs="宋体"/>
                <w:kern w:val="2"/>
                <w:sz w:val="19"/>
                <w:szCs w:val="19"/>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sz w:val="19"/>
          <w:szCs w:val="19"/>
          <w:lang w:val="en-US" w:eastAsia="zh-CN"/>
        </w:rPr>
      </w:pPr>
      <w:r>
        <w:rPr>
          <w:sz w:val="19"/>
          <w:szCs w:val="19"/>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收     入</w:t>
            </w:r>
          </w:p>
        </w:tc>
        <w:tc>
          <w:tcPr>
            <w:tcW w:w="8384"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项目</w:t>
            </w:r>
          </w:p>
        </w:tc>
        <w:tc>
          <w:tcPr>
            <w:tcW w:w="4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行次</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金额</w:t>
            </w:r>
          </w:p>
        </w:tc>
        <w:tc>
          <w:tcPr>
            <w:tcW w:w="26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项目</w:t>
            </w:r>
          </w:p>
        </w:tc>
        <w:tc>
          <w:tcPr>
            <w:tcW w:w="4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行次</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合计</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一般公共预算财政拨款</w:t>
            </w:r>
          </w:p>
        </w:tc>
        <w:tc>
          <w:tcPr>
            <w:tcW w:w="13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政府性基金预算财政拨款</w:t>
            </w:r>
          </w:p>
        </w:tc>
        <w:tc>
          <w:tcPr>
            <w:tcW w:w="1344"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13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1344"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栏次</w:t>
            </w:r>
          </w:p>
        </w:tc>
        <w:tc>
          <w:tcPr>
            <w:tcW w:w="46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栏次</w:t>
            </w:r>
          </w:p>
        </w:tc>
        <w:tc>
          <w:tcPr>
            <w:tcW w:w="46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一、一般公共预算财政拨款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444.63</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一、一般公共服务支出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390.34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390.34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二、政府性基金预算财政拨款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二、外交支出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三、国有资本经营预算财政拨款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三、国防支出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四、公共安全支出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5</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五、教育支出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6</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六、科学技术支出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7</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七、文化旅游体育与传媒支出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8</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八、社会保障和就业支出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42.79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42.79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9</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九、卫生健康支出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11.51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11.51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10</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十、节能环保支出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11</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十一、城乡社区支出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12</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十二、农林水支出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13</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十三、交通运输支出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14</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十四、资源勘探工业信息等支出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15</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十五、商业服务业等支出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16</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十六、金融支出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17</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十七、援助其他地区支出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18</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十八、自然资源海洋气象等支出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50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19</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十九、住房保障支出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51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20</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二十、粮油物资储备支出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52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21</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二十一、国有资本经营预算支出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53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22</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二十二、灾害防治及应急管理支出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54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23</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二十三、其他支出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55</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24</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二十四、债务还本支出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56</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25</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二十五、债务付息支出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57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26</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二十六、抗疫特别国债安排的支出</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58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i w:val="0"/>
                <w:color w:val="000000"/>
                <w:kern w:val="2"/>
                <w:sz w:val="19"/>
                <w:szCs w:val="19"/>
                <w:lang w:val="en-US" w:eastAsia="zh-CN" w:bidi="ar-SA"/>
              </w:rPr>
              <w:t>本年收入合计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27</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444.63</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i w:val="0"/>
                <w:color w:val="000000"/>
                <w:kern w:val="2"/>
                <w:sz w:val="19"/>
                <w:szCs w:val="19"/>
                <w:lang w:val="en-US" w:eastAsia="zh-CN" w:bidi="ar-SA"/>
              </w:rPr>
              <w:t>本年支出合计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59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444.63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444.63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年初财政拨款结转和结余</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28</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年末财政拨款结转和结余</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60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一般公共预算财政拨款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29</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61</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134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政府性基金预算财政拨款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62</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134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国有资本经营预算财政拨款</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26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63</w:t>
            </w: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13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134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i w:val="0"/>
                <w:color w:val="000000"/>
                <w:kern w:val="2"/>
                <w:sz w:val="19"/>
                <w:szCs w:val="19"/>
                <w:lang w:val="en-US" w:eastAsia="zh-CN" w:bidi="ar-SA"/>
              </w:rPr>
              <w:t>总计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32</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444.63</w:t>
            </w:r>
          </w:p>
        </w:tc>
        <w:tc>
          <w:tcPr>
            <w:tcW w:w="26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i w:val="0"/>
                <w:color w:val="000000"/>
                <w:kern w:val="2"/>
                <w:sz w:val="19"/>
                <w:szCs w:val="19"/>
                <w:lang w:val="en-US" w:eastAsia="zh-CN" w:bidi="ar-SA"/>
              </w:rPr>
              <w:t>总计</w:t>
            </w:r>
          </w:p>
        </w:tc>
        <w:tc>
          <w:tcPr>
            <w:tcW w:w="4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64</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444.63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444.63</w:t>
            </w:r>
          </w:p>
        </w:tc>
        <w:tc>
          <w:tcPr>
            <w:tcW w:w="130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134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overflowPunct/>
        <w:topLinePunct w:val="0"/>
        <w:autoSpaceDE/>
        <w:autoSpaceDN/>
        <w:bidi w:val="0"/>
        <w:adjustRightInd/>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0"/>
                <w:szCs w:val="20"/>
                <w:lang w:val="en-US" w:eastAsia="zh-CN" w:bidi="ar-SA"/>
              </w:rPr>
            </w:pPr>
            <w:r>
              <w:rPr>
                <w:rFonts w:ascii="宋体" w:hAnsi="宋体" w:eastAsia="宋体" w:cs="宋体"/>
                <w:kern w:val="2"/>
                <w:sz w:val="20"/>
                <w:szCs w:val="20"/>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0"/>
                <w:szCs w:val="20"/>
                <w:lang w:val="en-US" w:eastAsia="zh-CN" w:bidi="ar-SA"/>
              </w:rPr>
            </w:pPr>
            <w:r>
              <w:rPr>
                <w:rFonts w:ascii="宋体" w:hAnsi="宋体" w:eastAsia="宋体" w:cs="宋体"/>
                <w:kern w:val="2"/>
                <w:sz w:val="20"/>
                <w:szCs w:val="20"/>
                <w:lang w:val="en-US" w:eastAsia="zh-CN" w:bidi="ar-SA"/>
              </w:rPr>
              <w:t>部门：郸城县人民代表大会常务委员会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0"/>
                <w:szCs w:val="20"/>
                <w:lang w:val="en-US" w:eastAsia="zh-CN" w:bidi="ar-SA"/>
              </w:rPr>
            </w:pPr>
            <w:r>
              <w:rPr>
                <w:rFonts w:ascii="宋体" w:hAnsi="宋体" w:eastAsia="宋体" w:cs="宋体"/>
                <w:kern w:val="2"/>
                <w:sz w:val="20"/>
                <w:szCs w:val="20"/>
                <w:lang w:val="en-US" w:eastAsia="zh-CN" w:bidi="ar-SA"/>
              </w:rPr>
              <w:t>2024年度</w:t>
            </w:r>
          </w:p>
        </w:tc>
        <w:tc>
          <w:tcPr>
            <w:tcW w:w="3513"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0"/>
                <w:szCs w:val="20"/>
                <w:lang w:val="en-US" w:eastAsia="zh-CN" w:bidi="ar-SA"/>
              </w:rPr>
            </w:pPr>
            <w:r>
              <w:rPr>
                <w:rFonts w:ascii="宋体" w:hAnsi="宋体" w:eastAsia="宋体" w:cs="宋体"/>
                <w:kern w:val="2"/>
                <w:sz w:val="20"/>
                <w:szCs w:val="20"/>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sz w:val="20"/>
          <w:szCs w:val="20"/>
          <w:lang w:val="en-US" w:eastAsia="zh-CN"/>
        </w:rPr>
      </w:pPr>
      <w:r>
        <w:rPr>
          <w:sz w:val="20"/>
          <w:szCs w:val="20"/>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472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项目</w:t>
            </w:r>
          </w:p>
        </w:tc>
        <w:tc>
          <w:tcPr>
            <w:tcW w:w="4306"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科目编码</w:t>
            </w:r>
          </w:p>
        </w:tc>
        <w:tc>
          <w:tcPr>
            <w:tcW w:w="37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科目名称</w:t>
            </w:r>
          </w:p>
        </w:tc>
        <w:tc>
          <w:tcPr>
            <w:tcW w:w="14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小计</w:t>
            </w:r>
          </w:p>
        </w:tc>
        <w:tc>
          <w:tcPr>
            <w:tcW w:w="144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基本支出</w:t>
            </w:r>
          </w:p>
        </w:tc>
        <w:tc>
          <w:tcPr>
            <w:tcW w:w="1426"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7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142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37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144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c>
          <w:tcPr>
            <w:tcW w:w="1426"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0"/>
                <w:szCs w:val="20"/>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472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栏次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472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合计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444.63</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351.68</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92.96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一般公共服务支出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390.34</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297.38</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92.96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20101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人大事务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390.34</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297.38</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92.96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2010101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行政运行</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297.38</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297.38</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2010102</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一般行政管理事务</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29.96</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29.96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2010104</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人大会议</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63.00</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63.00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社会保障和就业支出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42.79</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42.79</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20805</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行政事业单位养老支出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22.78</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22.78</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2080505</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机关事业单位基本养老保险缴费支出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22.78</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22.78</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20808</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抚恤</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2080801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死亡抚恤</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20899</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其他社会保障和就业支出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20.01</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20.01</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2089999</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其他社会保障和就业支出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20.01</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20.01</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210</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卫生健康支出</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21011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行政事业单位医疗</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54" w:hRule="atLeast"/>
          <w:jc w:val="center"/>
        </w:trPr>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2101101</w:t>
            </w:r>
          </w:p>
        </w:tc>
        <w:tc>
          <w:tcPr>
            <w:tcW w:w="376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行政单位医疗</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144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11.51</w:t>
            </w:r>
          </w:p>
        </w:tc>
        <w:tc>
          <w:tcPr>
            <w:tcW w:w="1426"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0"/>
                <w:szCs w:val="20"/>
                <w:lang w:val="en-US" w:eastAsia="zh-CN" w:bidi="ar-SA"/>
              </w:rPr>
            </w:pPr>
            <w:r>
              <w:rPr>
                <w:rFonts w:ascii="宋体" w:hAnsi="宋体" w:eastAsia="宋体" w:cs="宋体"/>
                <w:b w:val="0"/>
                <w:i w:val="0"/>
                <w:color w:val="000000"/>
                <w:kern w:val="2"/>
                <w:sz w:val="20"/>
                <w:szCs w:val="20"/>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overflowPunct/>
        <w:topLinePunct w:val="0"/>
        <w:autoSpaceDE/>
        <w:autoSpaceDN/>
        <w:bidi w:val="0"/>
        <w:adjustRightInd/>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19"/>
                <w:szCs w:val="19"/>
                <w:lang w:val="en-US" w:eastAsia="zh-CN" w:bidi="ar-SA"/>
              </w:rPr>
            </w:pPr>
            <w:r>
              <w:rPr>
                <w:rFonts w:ascii="宋体" w:hAnsi="宋体" w:eastAsia="宋体" w:cs="宋体"/>
                <w:kern w:val="2"/>
                <w:sz w:val="19"/>
                <w:szCs w:val="19"/>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19"/>
                <w:szCs w:val="19"/>
                <w:lang w:val="en-US" w:eastAsia="zh-CN" w:bidi="ar-SA"/>
              </w:rPr>
            </w:pPr>
            <w:r>
              <w:rPr>
                <w:rFonts w:ascii="宋体" w:hAnsi="宋体" w:eastAsia="宋体" w:cs="宋体"/>
                <w:kern w:val="2"/>
                <w:sz w:val="19"/>
                <w:szCs w:val="19"/>
                <w:lang w:val="en-US" w:eastAsia="zh-CN" w:bidi="ar-SA"/>
              </w:rPr>
              <w:t>部门：郸城县人民代表大会常务委员会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19"/>
                <w:szCs w:val="19"/>
                <w:lang w:val="en-US" w:eastAsia="zh-CN" w:bidi="ar-SA"/>
              </w:rPr>
            </w:pPr>
            <w:r>
              <w:rPr>
                <w:rFonts w:ascii="宋体" w:hAnsi="宋体" w:eastAsia="宋体" w:cs="宋体"/>
                <w:kern w:val="2"/>
                <w:sz w:val="19"/>
                <w:szCs w:val="19"/>
                <w:lang w:val="en-US" w:eastAsia="zh-CN" w:bidi="ar-SA"/>
              </w:rPr>
              <w:t>2024年度</w:t>
            </w:r>
          </w:p>
        </w:tc>
        <w:tc>
          <w:tcPr>
            <w:tcW w:w="5412"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19"/>
                <w:szCs w:val="19"/>
                <w:lang w:val="en-US" w:eastAsia="zh-CN" w:bidi="ar-SA"/>
              </w:rPr>
            </w:pPr>
            <w:r>
              <w:rPr>
                <w:rFonts w:ascii="宋体" w:hAnsi="宋体" w:eastAsia="宋体" w:cs="宋体"/>
                <w:kern w:val="2"/>
                <w:sz w:val="19"/>
                <w:szCs w:val="19"/>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sz w:val="19"/>
          <w:szCs w:val="19"/>
          <w:lang w:val="en-US" w:eastAsia="zh-CN"/>
        </w:rPr>
      </w:pPr>
      <w:r>
        <w:rPr>
          <w:sz w:val="19"/>
          <w:szCs w:val="19"/>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人员经费</w:t>
            </w:r>
          </w:p>
        </w:tc>
        <w:tc>
          <w:tcPr>
            <w:tcW w:w="8684"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经济分类科目编码</w:t>
            </w:r>
          </w:p>
        </w:tc>
        <w:tc>
          <w:tcPr>
            <w:tcW w:w="2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科目名称</w:t>
            </w:r>
          </w:p>
        </w:tc>
        <w:tc>
          <w:tcPr>
            <w:tcW w:w="9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决算数</w:t>
            </w:r>
          </w:p>
        </w:tc>
        <w:tc>
          <w:tcPr>
            <w:tcW w:w="8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经济分类科目编码</w:t>
            </w:r>
          </w:p>
        </w:tc>
        <w:tc>
          <w:tcPr>
            <w:tcW w:w="2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科目名称</w:t>
            </w:r>
          </w:p>
        </w:tc>
        <w:tc>
          <w:tcPr>
            <w:tcW w:w="9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决算数</w:t>
            </w:r>
          </w:p>
        </w:tc>
        <w:tc>
          <w:tcPr>
            <w:tcW w:w="80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经济分类科目编码</w:t>
            </w:r>
          </w:p>
        </w:tc>
        <w:tc>
          <w:tcPr>
            <w:tcW w:w="27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科目名称</w:t>
            </w:r>
          </w:p>
        </w:tc>
        <w:tc>
          <w:tcPr>
            <w:tcW w:w="964"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8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9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80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7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964"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工资福利支出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200.90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商品和服务支出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143.53</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307</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债务利息及费用支出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30101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基本工资</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98.22</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办公费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33.84</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30701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国内债务付息</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30102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津贴补贴</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23.78</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印刷费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33.14</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30702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国外债务付息</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30103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奖金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24.61</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咨询费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资本性支出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30106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伙食补助费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30204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手续费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31001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房屋建筑物购建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30107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绩效工资</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30205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31002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办公设备购置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30108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机关事业单位基本养老保险缴费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22.78</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30206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电费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31003</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专用设备购置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30109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职业年金缴费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30207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邮电费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0.20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31005</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基础设施建设</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30110</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职工基本医疗保险缴费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11.51</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30208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取暖费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31006</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大型修缮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30111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公务员医疗补助缴费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30209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物业管理费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4.03</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31007</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信息网络及软件购置更新</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30112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其他社会保障缴费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20.01</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30211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差旅费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3.54</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31008</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物资储备</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30113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住房公积金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30212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因公出国（境）费用</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31009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土地补偿</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30114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医疗费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30213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维修（护）费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18.21</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31010</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安置补助</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30199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其他工资福利支出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30214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租赁费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31011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地上附着物和青苗补偿</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对个人和家庭的补助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7.25</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30215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会议费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31012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拆迁补偿</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30301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离休费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30216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培训费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14.99</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31013</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公务用车购置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30302</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退休费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30217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公务接待费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31019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其他交通工具购置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30303</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退职（役）费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30218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专用材料费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31021</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文物和陈列品购置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30304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抚恤金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30224</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被装购置费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31022</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无形资产购置</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30305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生活补助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7.25</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30225</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专用燃料费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31099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其他资本性支出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30306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救济费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30226</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劳务费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399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其他支出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30307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医疗费补助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30227</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委托业务费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39907</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国家赔偿费用支出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30308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助学金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30228</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工会经费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39908</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对民间非营利组织和群众性自治组织补贴</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30309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奖励金</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30229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福利费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39909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经常性赠与</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30310</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个人农业生产补贴</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30231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公务用车运行维护费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39910</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资本性赠与</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30311</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代缴社会保险费</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30239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其他交通费用</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13.37</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39999</w:t>
            </w:r>
          </w:p>
        </w:tc>
        <w:tc>
          <w:tcPr>
            <w:tcW w:w="27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其他支出</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30399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其他对个人和家庭的补助</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30240</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税金及附加费用</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0.00</w:t>
            </w:r>
          </w:p>
        </w:tc>
        <w:tc>
          <w:tcPr>
            <w:tcW w:w="8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7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96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96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80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30299</w:t>
            </w:r>
          </w:p>
        </w:tc>
        <w:tc>
          <w:tcPr>
            <w:tcW w:w="2380" w:type="dxa"/>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 xml:space="preserve">  其他商品和服务支出</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18.21</w:t>
            </w:r>
          </w:p>
        </w:tc>
        <w:tc>
          <w:tcPr>
            <w:tcW w:w="80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27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c>
          <w:tcPr>
            <w:tcW w:w="964"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19"/>
                <w:szCs w:val="19"/>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人员经费合计</w:t>
            </w:r>
          </w:p>
        </w:tc>
        <w:tc>
          <w:tcPr>
            <w:tcW w:w="9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208.14</w:t>
            </w:r>
          </w:p>
        </w:tc>
        <w:tc>
          <w:tcPr>
            <w:tcW w:w="7720" w:type="dxa"/>
            <w:gridSpan w:val="5"/>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公用经费合计</w:t>
            </w:r>
          </w:p>
        </w:tc>
        <w:tc>
          <w:tcPr>
            <w:tcW w:w="964"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143.53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19"/>
                <w:szCs w:val="19"/>
                <w:lang w:val="en-US" w:eastAsia="zh-CN" w:bidi="ar-SA"/>
              </w:rPr>
            </w:pPr>
            <w:r>
              <w:rPr>
                <w:rFonts w:ascii="宋体" w:hAnsi="宋体" w:eastAsia="宋体" w:cs="宋体"/>
                <w:b w:val="0"/>
                <w:i w:val="0"/>
                <w:color w:val="000000"/>
                <w:kern w:val="2"/>
                <w:sz w:val="19"/>
                <w:szCs w:val="19"/>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overflowPunct/>
        <w:topLinePunct w:val="0"/>
        <w:autoSpaceDE/>
        <w:autoSpaceDN/>
        <w:bidi w:val="0"/>
        <w:adjustRightInd/>
        <w:jc w:val="left"/>
        <w:textAlignment w:val="center"/>
        <w:rPr>
          <w:rFonts w:hint="eastAsia" w:ascii="宋体" w:hAnsi="宋体" w:cs="宋体"/>
          <w:color w:val="000000"/>
          <w:kern w:val="0"/>
          <w:sz w:val="19"/>
          <w:szCs w:val="19"/>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部门：郸城县人民代表大会常务委员会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58"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4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358"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说明：我部门没有政府性基金收入，也没有使用政府性基金安排的支出，故本表无数据。</w:t>
      </w:r>
    </w:p>
    <w:p>
      <w:pPr>
        <w:keepNext w:val="0"/>
        <w:keepLines w:val="0"/>
        <w:pageBreakBefore w:val="0"/>
        <w:widowControl/>
        <w:kinsoku/>
        <w:wordWrap/>
        <w:overflowPunct/>
        <w:topLinePunct w:val="0"/>
        <w:autoSpaceDE/>
        <w:autoSpaceDN/>
        <w:bidi w:val="0"/>
        <w:adjustRightInd/>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部门：郸城县人民代表大会常务委员会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55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80"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2158" w:type="dxa"/>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keepNext w:val="0"/>
              <w:keepLines w:val="0"/>
              <w:pageBreakBefore w:val="0"/>
              <w:widowControl w:val="0"/>
              <w:kinsoku/>
              <w:wordWrap/>
              <w:overflowPunct/>
              <w:topLinePunct w:val="0"/>
              <w:autoSpaceDE/>
              <w:autoSpaceDN/>
              <w:bidi w:val="0"/>
              <w:adjustRightInd/>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overflowPunct/>
        <w:topLinePunct w:val="0"/>
        <w:autoSpaceDE/>
        <w:autoSpaceDN/>
        <w:bidi w:val="0"/>
        <w:adjustRightInd/>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keepNext w:val="0"/>
              <w:keepLines w:val="0"/>
              <w:pageBreakBefore w:val="0"/>
              <w:widowControl w:val="0"/>
              <w:kinsoku/>
              <w:wordWrap/>
              <w:overflowPunct/>
              <w:topLinePunct w:val="0"/>
              <w:autoSpaceDE/>
              <w:autoSpaceDN/>
              <w:bidi w:val="0"/>
              <w:adjustRightInd/>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部门：郸城县人民代表大会常务委员会</w:t>
            </w:r>
          </w:p>
        </w:tc>
        <w:tc>
          <w:tcPr>
            <w:tcW w:w="2000" w:type="dxa"/>
            <w:noWrap w:val="0"/>
            <w:vAlign w:val="top"/>
          </w:tcPr>
          <w:p>
            <w:pPr>
              <w:keepNext w:val="0"/>
              <w:keepLines w:val="0"/>
              <w:pageBreakBefore w:val="0"/>
              <w:widowControl w:val="0"/>
              <w:kinsoku/>
              <w:wordWrap/>
              <w:overflowPunct/>
              <w:topLinePunct w:val="0"/>
              <w:autoSpaceDE/>
              <w:autoSpaceDN/>
              <w:bidi w:val="0"/>
              <w:adjustRightInd/>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keepNext w:val="0"/>
              <w:keepLines w:val="0"/>
              <w:pageBreakBefore w:val="0"/>
              <w:widowControl w:val="0"/>
              <w:kinsoku/>
              <w:wordWrap/>
              <w:overflowPunct/>
              <w:topLinePunct w:val="0"/>
              <w:autoSpaceDE/>
              <w:autoSpaceDN/>
              <w:bidi w:val="0"/>
              <w:adjustRightInd/>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keepNext w:val="0"/>
        <w:keepLines w:val="0"/>
        <w:pageBreakBefore w:val="0"/>
        <w:kinsoku/>
        <w:wordWrap/>
        <w:overflowPunct/>
        <w:topLinePunct w:val="0"/>
        <w:autoSpaceDE/>
        <w:autoSpaceDN/>
        <w:bidi w:val="0"/>
        <w:adjustRightInd/>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keepNext w:val="0"/>
              <w:keepLines w:val="0"/>
              <w:pageBreakBefore w:val="0"/>
              <w:widowControl w:val="0"/>
              <w:kinsoku/>
              <w:wordWrap/>
              <w:overflowPunct/>
              <w:topLinePunct w:val="0"/>
              <w:autoSpaceDE/>
              <w:autoSpaceDN/>
              <w:bidi w:val="0"/>
              <w:adjustRightInd/>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keepNext w:val="0"/>
              <w:keepLines w:val="0"/>
              <w:pageBreakBefore w:val="0"/>
              <w:widowControl w:val="0"/>
              <w:kinsoku/>
              <w:wordWrap/>
              <w:overflowPunct/>
              <w:topLinePunct w:val="0"/>
              <w:autoSpaceDE/>
              <w:autoSpaceDN/>
              <w:bidi w:val="0"/>
              <w:adjustRightInd/>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keepNext w:val="0"/>
              <w:keepLines w:val="0"/>
              <w:pageBreakBefore w:val="0"/>
              <w:widowControl w:val="0"/>
              <w:kinsoku/>
              <w:wordWrap/>
              <w:overflowPunct/>
              <w:topLinePunct w:val="0"/>
              <w:autoSpaceDE/>
              <w:autoSpaceDN/>
              <w:bidi w:val="0"/>
              <w:adjustRightInd/>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overflowPunct/>
        <w:topLinePunct w:val="0"/>
        <w:autoSpaceDE/>
        <w:autoSpaceDN/>
        <w:bidi w:val="0"/>
        <w:adjustRightInd/>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overflowPunct/>
        <w:topLinePunct w:val="0"/>
        <w:autoSpaceDE/>
        <w:autoSpaceDN/>
        <w:bidi w:val="0"/>
        <w:adjustRightInd/>
        <w:jc w:val="both"/>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ascii="黑体" w:hAnsi="宋体" w:eastAsia="黑体" w:cs="宋体"/>
          <w:kern w:val="0"/>
          <w:sz w:val="28"/>
          <w:szCs w:val="28"/>
          <w:lang w:val="en-US" w:eastAsia="zh-CN"/>
        </w:rPr>
      </w:pPr>
    </w:p>
    <w:p>
      <w:pPr>
        <w:keepNext w:val="0"/>
        <w:keepLines w:val="0"/>
        <w:pageBreakBefore w:val="0"/>
        <w:widowControl/>
        <w:kinsoku/>
        <w:wordWrap/>
        <w:overflowPunct/>
        <w:topLinePunct w:val="0"/>
        <w:autoSpaceDE/>
        <w:autoSpaceDN/>
        <w:bidi w:val="0"/>
        <w:adjustRightInd/>
        <w:jc w:val="left"/>
        <w:rPr>
          <w:rFonts w:hint="eastAsia" w:ascii="黑体" w:hAnsi="宋体" w:eastAsia="黑体" w:cs="宋体"/>
          <w:kern w:val="0"/>
          <w:sz w:val="28"/>
          <w:szCs w:val="28"/>
          <w:lang w:val="en-US" w:eastAsia="zh-CN"/>
        </w:rPr>
      </w:pP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444.63</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与上年度相比，收、支总计各减少58.80万元，下降11.68%，主要原因是减少个人抚恤金和单位维修费用。</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444.63</w:t>
      </w:r>
      <w:r>
        <w:rPr>
          <w:rFonts w:hint="eastAsia" w:ascii="仿宋_GB2312" w:hAnsi="仿宋_GB2312" w:eastAsia="仿宋_GB2312" w:cs="仿宋_GB2312"/>
          <w:sz w:val="32"/>
          <w:szCs w:val="32"/>
          <w:lang w:val="en-US" w:eastAsia="zh-CN"/>
        </w:rPr>
        <w:t>万元，其中：财政拨款收入444.63万元，占100.00%。</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444.63</w:t>
      </w:r>
      <w:r>
        <w:rPr>
          <w:rFonts w:hint="eastAsia" w:ascii="仿宋_GB2312" w:hAnsi="仿宋_GB2312" w:eastAsia="仿宋_GB2312" w:cs="仿宋_GB2312"/>
          <w:sz w:val="32"/>
          <w:szCs w:val="32"/>
          <w:lang w:val="en-US" w:eastAsia="zh-CN"/>
        </w:rPr>
        <w:t>万元，其中：基本支出351.68万元，占79.09%;项目支出92.96万元，占20.91%。</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444.63</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与上年度相比，财政拨款收、支总计各减少58.80万元，下降11.68%，主要原因是减少个人抚恤金和单位维修费用。</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2024年度一般公共预算财政拨款支出444.63万元，占支出合计的100.00%。与上年度相比，一般公共预算财政拨款支出减少58.80万元，下降11.68%，主要原因是减少个人抚恤金和单位维修费用。</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年度一般公共预算财政拨款支出444.63万元，主要用于以下方面：一般公共服务（类）支出390.34万元，占87.79%;社会保障和就业（类）支出42.79万元，占9.62%;卫生健康（类）支出11.51万元，占2.59%。</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eastAsia="仿宋_GB2312"/>
          <w:sz w:val="32"/>
          <w:szCs w:val="32"/>
          <w:highlight w:val="none"/>
          <w:lang w:val="en-US" w:eastAsia="zh-CN"/>
        </w:rPr>
        <w:t>390.73</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444.63</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113.79</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269.44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297.38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，完成年初预算的110.37%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开展诗书摄影展活动</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一般公共服务支出（类）人大事务（款）一般行政管理事务（项）</w:t>
      </w:r>
      <w:r>
        <w:rPr>
          <w:rFonts w:hint="eastAsia" w:ascii="仿宋" w:hAnsi="仿宋" w:eastAsia="仿宋" w:cs="仿宋_GB2312"/>
          <w:sz w:val="32"/>
          <w:szCs w:val="32"/>
          <w:lang w:val="en-US" w:eastAsia="zh-CN"/>
        </w:rPr>
        <w:t>。年初预算为0万元，支出决算为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29.96</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方正仿宋_GB2312" w:hAnsi="方正仿宋_GB2312" w:eastAsia="方正仿宋_GB2312" w:cs="方正仿宋_GB2312"/>
          <w:spacing w:val="8"/>
          <w:sz w:val="32"/>
          <w:szCs w:val="32"/>
        </w:rPr>
        <w:t>根据年度工作开展情况，调整类款项支出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一般公共服务支出（类）人大事务（款）人大会议（项）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63.00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63.00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100.00</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一般公共服务支出（类）群众团体事务（款）工会事务（项）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2.68</w:t>
      </w:r>
      <w:r>
        <w:rPr>
          <w:rFonts w:hint="eastAsia" w:ascii="仿宋" w:hAnsi="仿宋" w:eastAsia="仿宋" w:cs="仿宋_GB2312"/>
          <w:sz w:val="32"/>
          <w:szCs w:val="32"/>
          <w:lang w:val="en-US" w:eastAsia="zh-CN"/>
        </w:rPr>
        <w:t>万元，支出决算为0万元。决算数与年初预算数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本年度未开展工会事务</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21.43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22.78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，完成年初预算的106.31%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保险类基数调整，保险类支出增加。</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6.69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20.01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，完成年初预算的299.30%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方正仿宋_GB2312" w:hAnsi="方正仿宋_GB2312" w:eastAsia="方正仿宋_GB2312" w:cs="方正仿宋_GB2312"/>
          <w:spacing w:val="8"/>
          <w:sz w:val="32"/>
          <w:szCs w:val="32"/>
        </w:rPr>
        <w:t>根据年度工作开展情况，调整类款项支出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8.57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11.51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，完成年初预算的134.23%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保险类基数调整，保险类支出增加。</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8.21</w:t>
      </w:r>
      <w:r>
        <w:rPr>
          <w:rFonts w:hint="eastAsia" w:ascii="仿宋" w:hAnsi="仿宋" w:eastAsia="仿宋" w:cs="仿宋_GB2312"/>
          <w:sz w:val="32"/>
          <w:szCs w:val="32"/>
          <w:lang w:val="en-US" w:eastAsia="zh-CN"/>
        </w:rPr>
        <w:t>万元，支出决算为0万元。决算数与年初预算数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方正仿宋_GB2312" w:hAnsi="方正仿宋_GB2312" w:eastAsia="方正仿宋_GB2312" w:cs="方正仿宋_GB2312"/>
          <w:spacing w:val="8"/>
          <w:sz w:val="32"/>
          <w:szCs w:val="32"/>
        </w:rPr>
        <w:t>根据年度工作开展情况，调整类款项支出</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10.71</w:t>
      </w:r>
      <w:r>
        <w:rPr>
          <w:rFonts w:hint="eastAsia" w:ascii="仿宋" w:hAnsi="仿宋" w:eastAsia="仿宋" w:cs="仿宋_GB2312"/>
          <w:sz w:val="32"/>
          <w:szCs w:val="32"/>
          <w:lang w:val="en-US" w:eastAsia="zh-CN"/>
        </w:rPr>
        <w:t>万元，支出决算为0万元。决算数与年初预算数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方正仿宋_GB2312" w:hAnsi="方正仿宋_GB2312" w:eastAsia="方正仿宋_GB2312" w:cs="方正仿宋_GB2312"/>
          <w:spacing w:val="8"/>
          <w:sz w:val="32"/>
          <w:szCs w:val="32"/>
        </w:rPr>
        <w:t>根据年度工作开展情况，调整类款项支出</w:t>
      </w:r>
      <w:r>
        <w:rPr>
          <w:rFonts w:hint="eastAsia" w:ascii="仿宋" w:hAnsi="仿宋" w:eastAsia="仿宋" w:cs="仿宋_GB2312"/>
          <w:sz w:val="32"/>
          <w:szCs w:val="32"/>
          <w:lang w:val="en-US" w:eastAsia="zh-CN"/>
        </w:rPr>
        <w:t>。</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351.68</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208.14</w:t>
      </w:r>
      <w:r>
        <w:rPr>
          <w:rFonts w:hint="eastAsia" w:ascii="仿宋_GB2312" w:hAnsi="仿宋_GB2312" w:eastAsia="仿宋_GB2312" w:cs="仿宋_GB2312"/>
          <w:sz w:val="32"/>
          <w:szCs w:val="32"/>
          <w:lang w:val="en-US" w:eastAsia="zh-CN"/>
        </w:rPr>
        <w:t>万元，主要包括：基本工资、津贴补贴、奖金、机关事业单位基本养老保险缴费、职工基本医疗保险缴费、其他社会保障缴费、生活补助；公用经费</w:t>
      </w:r>
      <w:r>
        <w:rPr>
          <w:rFonts w:hint="eastAsia" w:ascii="仿宋_GB2312" w:hAnsi="Times New Roman" w:eastAsia="仿宋_GB2312"/>
          <w:sz w:val="32"/>
          <w:szCs w:val="32"/>
          <w:lang w:val="en-US" w:eastAsia="zh-CN"/>
        </w:rPr>
        <w:t>143.53</w:t>
      </w:r>
      <w:r>
        <w:rPr>
          <w:rFonts w:hint="eastAsia" w:ascii="仿宋_GB2312" w:hAnsi="仿宋_GB2312" w:eastAsia="仿宋_GB2312" w:cs="仿宋_GB2312"/>
          <w:sz w:val="32"/>
          <w:szCs w:val="32"/>
          <w:lang w:val="en-US" w:eastAsia="zh-CN"/>
        </w:rPr>
        <w:t>万元，主要包括：办公费、印刷费、邮电费、物业管理费、差旅费、维修（护）费、培训费、委托业务费、工会经费、其他交通费用、其他商品和服务支出。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我部门2024年没有使用政府性基金预算财政拨款安排的支出。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overflowPunct/>
        <w:topLinePunct w:val="0"/>
        <w:autoSpaceDE/>
        <w:autoSpaceDN/>
        <w:bidi w:val="0"/>
        <w:adjustRightInd/>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2024年度机关运行经费支出143.53万元，比2023年减少6.48万元，下降4.32%。主要原因是压减经费支出，节约开支。</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overflowPunct/>
        <w:topLinePunct w:val="0"/>
        <w:autoSpaceDE/>
        <w:autoSpaceDN/>
        <w:bidi w:val="0"/>
        <w:adjustRightInd/>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w:t>
      </w:r>
      <w:r>
        <w:rPr>
          <w:rFonts w:hint="eastAsia" w:ascii="仿宋_GB2312" w:hAnsi="仿宋_GB2312" w:eastAsia="仿宋_GB2312" w:cs="仿宋_GB2312"/>
          <w:sz w:val="32"/>
          <w:szCs w:val="32"/>
          <w:highlight w:val="none"/>
          <w:lang w:val="en-US" w:eastAsia="zh-CN"/>
        </w:rPr>
        <w:t>6</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6</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 xml:space="preserve">212.64 </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w:t>
      </w:r>
      <w:r>
        <w:rPr>
          <w:rFonts w:hint="eastAsia" w:ascii="仿宋_GB2312" w:hAnsi="仿宋_GB2312" w:eastAsia="仿宋_GB2312" w:cs="仿宋_GB2312"/>
          <w:sz w:val="32"/>
          <w:szCs w:val="32"/>
          <w:highlight w:val="none"/>
          <w:lang w:val="en-US" w:eastAsia="zh-CN"/>
        </w:rPr>
        <w:t>6</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6</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tbl>
      <w:tblPr>
        <w:tblStyle w:val="2"/>
        <w:tblW w:w="5267"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30"/>
        <w:gridCol w:w="174"/>
        <w:gridCol w:w="457"/>
        <w:gridCol w:w="419"/>
        <w:gridCol w:w="1206"/>
        <w:gridCol w:w="62"/>
        <w:gridCol w:w="1048"/>
        <w:gridCol w:w="62"/>
        <w:gridCol w:w="1726"/>
        <w:gridCol w:w="62"/>
        <w:gridCol w:w="856"/>
        <w:gridCol w:w="62"/>
        <w:gridCol w:w="701"/>
        <w:gridCol w:w="316"/>
        <w:gridCol w:w="236"/>
        <w:gridCol w:w="62"/>
        <w:gridCol w:w="791"/>
        <w:gridCol w:w="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0" w:hRule="atLeast"/>
          <w:jc w:val="center"/>
        </w:trPr>
        <w:tc>
          <w:tcPr>
            <w:tcW w:w="4998" w:type="pct"/>
            <w:gridSpan w:val="17"/>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color w:val="000000"/>
                <w:kern w:val="0"/>
                <w:sz w:val="40"/>
                <w:szCs w:val="4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0" w:hRule="atLeast"/>
          <w:jc w:val="center"/>
        </w:trPr>
        <w:tc>
          <w:tcPr>
            <w:tcW w:w="4998" w:type="pct"/>
            <w:gridSpan w:val="17"/>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2025年6月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0" w:hRule="atLeast"/>
          <w:jc w:val="center"/>
        </w:trPr>
        <w:tc>
          <w:tcPr>
            <w:tcW w:w="50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项目名称</w:t>
            </w:r>
          </w:p>
        </w:tc>
        <w:tc>
          <w:tcPr>
            <w:tcW w:w="4495" w:type="pct"/>
            <w:gridSpan w:val="15"/>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2024年业务经费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0" w:hRule="atLeast"/>
          <w:jc w:val="center"/>
        </w:trPr>
        <w:tc>
          <w:tcPr>
            <w:tcW w:w="50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主管部门</w:t>
            </w:r>
          </w:p>
        </w:tc>
        <w:tc>
          <w:tcPr>
            <w:tcW w:w="1160"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郸城县人民代表大会常务委员会</w:t>
            </w:r>
          </w:p>
        </w:tc>
        <w:tc>
          <w:tcPr>
            <w:tcW w:w="1615"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实施单位</w:t>
            </w:r>
          </w:p>
        </w:tc>
        <w:tc>
          <w:tcPr>
            <w:tcW w:w="1719" w:type="pct"/>
            <w:gridSpan w:val="8"/>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郸城县人民代表大会常务委员会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0" w:hRule="atLeast"/>
          <w:jc w:val="center"/>
        </w:trPr>
        <w:tc>
          <w:tcPr>
            <w:tcW w:w="503"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项目资金                (万元)</w:t>
            </w:r>
          </w:p>
        </w:tc>
        <w:tc>
          <w:tcPr>
            <w:tcW w:w="488" w:type="pct"/>
            <w:gridSpan w:val="2"/>
            <w:tcBorders>
              <w:top w:val="single" w:color="000000" w:sz="4" w:space="0"/>
              <w:left w:val="single" w:color="000000" w:sz="4" w:space="0"/>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9"/>
                <w:szCs w:val="19"/>
                <w:u w:val="none"/>
              </w:rPr>
            </w:pPr>
          </w:p>
        </w:tc>
        <w:tc>
          <w:tcPr>
            <w:tcW w:w="6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年初预算数</w:t>
            </w:r>
          </w:p>
        </w:tc>
        <w:tc>
          <w:tcPr>
            <w:tcW w:w="61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全年预算数</w:t>
            </w:r>
          </w:p>
        </w:tc>
        <w:tc>
          <w:tcPr>
            <w:tcW w:w="99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全年执行数</w:t>
            </w:r>
          </w:p>
        </w:tc>
        <w:tc>
          <w:tcPr>
            <w:tcW w:w="5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分值</w:t>
            </w:r>
          </w:p>
        </w:tc>
        <w:tc>
          <w:tcPr>
            <w:tcW w:w="601"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执行率</w:t>
            </w:r>
          </w:p>
        </w:tc>
        <w:tc>
          <w:tcPr>
            <w:tcW w:w="606"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0" w:hRule="atLeast"/>
          <w:jc w:val="center"/>
        </w:trPr>
        <w:tc>
          <w:tcPr>
            <w:tcW w:w="50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8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 xml:space="preserve"> </w:t>
            </w:r>
            <w:r>
              <w:rPr>
                <w:rStyle w:val="21"/>
                <w:sz w:val="19"/>
                <w:szCs w:val="19"/>
                <w:lang w:val="en-US" w:eastAsia="zh-CN" w:bidi="ar"/>
              </w:rPr>
              <w:t xml:space="preserve"> 年度资金总额：</w:t>
            </w:r>
          </w:p>
        </w:tc>
        <w:tc>
          <w:tcPr>
            <w:tcW w:w="6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105.4</w:t>
            </w:r>
          </w:p>
        </w:tc>
        <w:tc>
          <w:tcPr>
            <w:tcW w:w="61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85.5</w:t>
            </w:r>
          </w:p>
        </w:tc>
        <w:tc>
          <w:tcPr>
            <w:tcW w:w="99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85.49</w:t>
            </w:r>
          </w:p>
        </w:tc>
        <w:tc>
          <w:tcPr>
            <w:tcW w:w="5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w:t>
            </w:r>
          </w:p>
        </w:tc>
        <w:tc>
          <w:tcPr>
            <w:tcW w:w="601"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99.99 %</w:t>
            </w:r>
          </w:p>
        </w:tc>
        <w:tc>
          <w:tcPr>
            <w:tcW w:w="606"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0" w:hRule="atLeast"/>
          <w:jc w:val="center"/>
        </w:trPr>
        <w:tc>
          <w:tcPr>
            <w:tcW w:w="50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8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财政拨款</w:t>
            </w:r>
          </w:p>
        </w:tc>
        <w:tc>
          <w:tcPr>
            <w:tcW w:w="6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105.4</w:t>
            </w:r>
          </w:p>
        </w:tc>
        <w:tc>
          <w:tcPr>
            <w:tcW w:w="61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85.5</w:t>
            </w:r>
          </w:p>
        </w:tc>
        <w:tc>
          <w:tcPr>
            <w:tcW w:w="99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85.49</w:t>
            </w:r>
          </w:p>
        </w:tc>
        <w:tc>
          <w:tcPr>
            <w:tcW w:w="5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c>
          <w:tcPr>
            <w:tcW w:w="601"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99.99 %</w:t>
            </w:r>
          </w:p>
        </w:tc>
        <w:tc>
          <w:tcPr>
            <w:tcW w:w="606"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0" w:hRule="atLeast"/>
          <w:jc w:val="center"/>
        </w:trPr>
        <w:tc>
          <w:tcPr>
            <w:tcW w:w="50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8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财政专户管理资金</w:t>
            </w:r>
          </w:p>
        </w:tc>
        <w:tc>
          <w:tcPr>
            <w:tcW w:w="6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61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99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5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c>
          <w:tcPr>
            <w:tcW w:w="601"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606"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0" w:hRule="atLeast"/>
          <w:jc w:val="center"/>
        </w:trPr>
        <w:tc>
          <w:tcPr>
            <w:tcW w:w="50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8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单位资金</w:t>
            </w:r>
          </w:p>
        </w:tc>
        <w:tc>
          <w:tcPr>
            <w:tcW w:w="6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618"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996"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5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c>
          <w:tcPr>
            <w:tcW w:w="601"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606"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0" w:hRule="atLeast"/>
          <w:jc w:val="center"/>
        </w:trPr>
        <w:tc>
          <w:tcPr>
            <w:tcW w:w="503"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资金管理情况</w:t>
            </w:r>
          </w:p>
        </w:tc>
        <w:tc>
          <w:tcPr>
            <w:tcW w:w="1160" w:type="pct"/>
            <w:gridSpan w:val="3"/>
            <w:tcBorders>
              <w:top w:val="single" w:color="000000" w:sz="4" w:space="0"/>
              <w:left w:val="nil"/>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9"/>
                <w:szCs w:val="19"/>
                <w:u w:val="none"/>
              </w:rPr>
            </w:pPr>
          </w:p>
        </w:tc>
        <w:tc>
          <w:tcPr>
            <w:tcW w:w="1615"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情况说明</w:t>
            </w:r>
          </w:p>
        </w:tc>
        <w:tc>
          <w:tcPr>
            <w:tcW w:w="5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分值（20）</w:t>
            </w:r>
          </w:p>
        </w:tc>
        <w:tc>
          <w:tcPr>
            <w:tcW w:w="601"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得分</w:t>
            </w:r>
          </w:p>
        </w:tc>
        <w:tc>
          <w:tcPr>
            <w:tcW w:w="606" w:type="pct"/>
            <w:gridSpan w:val="3"/>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0" w:hRule="atLeast"/>
          <w:jc w:val="center"/>
        </w:trPr>
        <w:tc>
          <w:tcPr>
            <w:tcW w:w="50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1160" w:type="pct"/>
            <w:gridSpan w:val="3"/>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安排科学性</w:t>
            </w:r>
          </w:p>
        </w:tc>
        <w:tc>
          <w:tcPr>
            <w:tcW w:w="1615"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从完整性、规范性、合理性进行审核，严格绩效管理，提升资金安排科学性。</w:t>
            </w:r>
          </w:p>
        </w:tc>
        <w:tc>
          <w:tcPr>
            <w:tcW w:w="5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601"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606" w:type="pct"/>
            <w:gridSpan w:val="3"/>
            <w:tcBorders>
              <w:top w:val="single" w:color="000000" w:sz="4" w:space="0"/>
              <w:left w:val="nil"/>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0" w:hRule="atLeast"/>
          <w:jc w:val="center"/>
        </w:trPr>
        <w:tc>
          <w:tcPr>
            <w:tcW w:w="50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1160" w:type="pct"/>
            <w:gridSpan w:val="3"/>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拨付合规性</w:t>
            </w:r>
          </w:p>
        </w:tc>
        <w:tc>
          <w:tcPr>
            <w:tcW w:w="1615"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严格按照财务管理制度的要求支出，资金的拨付有完整的审批程序和手续，符合项目预算批复或合同规定的用途。</w:t>
            </w:r>
          </w:p>
        </w:tc>
        <w:tc>
          <w:tcPr>
            <w:tcW w:w="5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601"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606" w:type="pct"/>
            <w:gridSpan w:val="3"/>
            <w:tcBorders>
              <w:top w:val="single" w:color="000000" w:sz="4" w:space="0"/>
              <w:left w:val="nil"/>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0" w:hRule="atLeast"/>
          <w:jc w:val="center"/>
        </w:trPr>
        <w:tc>
          <w:tcPr>
            <w:tcW w:w="50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1160" w:type="pct"/>
            <w:gridSpan w:val="3"/>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使用规范性</w:t>
            </w:r>
          </w:p>
        </w:tc>
        <w:tc>
          <w:tcPr>
            <w:tcW w:w="1615"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无超标列支相关费用，专款专用，不存在截留、挤占、挪用、虚列支出等情况，票据合法合规，财务票证资料较齐全并及时归档。</w:t>
            </w:r>
          </w:p>
        </w:tc>
        <w:tc>
          <w:tcPr>
            <w:tcW w:w="5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601"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606" w:type="pct"/>
            <w:gridSpan w:val="3"/>
            <w:tcBorders>
              <w:top w:val="single" w:color="000000" w:sz="4" w:space="0"/>
              <w:left w:val="nil"/>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0" w:hRule="atLeast"/>
          <w:jc w:val="center"/>
        </w:trPr>
        <w:tc>
          <w:tcPr>
            <w:tcW w:w="50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1160" w:type="pct"/>
            <w:gridSpan w:val="3"/>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预算绩效管理情况</w:t>
            </w:r>
          </w:p>
        </w:tc>
        <w:tc>
          <w:tcPr>
            <w:tcW w:w="1615"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推动建立定期分析制度，强化绩效管理入脑入心，督促调整和完善改进，不断推进绩效管理工作全面落实，保障项目的高效开展。</w:t>
            </w:r>
          </w:p>
        </w:tc>
        <w:tc>
          <w:tcPr>
            <w:tcW w:w="51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601"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606" w:type="pct"/>
            <w:gridSpan w:val="3"/>
            <w:tcBorders>
              <w:top w:val="single" w:color="000000" w:sz="4" w:space="0"/>
              <w:left w:val="nil"/>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0" w:hRule="atLeast"/>
          <w:jc w:val="center"/>
        </w:trPr>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年度总体目标</w:t>
            </w:r>
          </w:p>
        </w:tc>
        <w:tc>
          <w:tcPr>
            <w:tcW w:w="1257"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预期目标</w:t>
            </w:r>
          </w:p>
        </w:tc>
        <w:tc>
          <w:tcPr>
            <w:tcW w:w="3334" w:type="pct"/>
            <w:gridSpan w:val="1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0" w:hRule="atLeast"/>
          <w:jc w:val="center"/>
        </w:trPr>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1257" w:type="pct"/>
            <w:gridSpan w:val="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以习近平新时代中国特色社会主义思想、坚持和完善人民代表大会制度重要思想为指导，坚持党的领导、人民当家作主、依法治国有机统一，积极适应人大工作新形势、新要求，依法履行职权，主动担当作为。</w:t>
            </w:r>
          </w:p>
        </w:tc>
        <w:tc>
          <w:tcPr>
            <w:tcW w:w="3334" w:type="pct"/>
            <w:gridSpan w:val="12"/>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312" w:hRule="atLeast"/>
          <w:jc w:val="center"/>
        </w:trPr>
        <w:tc>
          <w:tcPr>
            <w:tcW w:w="4998" w:type="pct"/>
            <w:gridSpan w:val="17"/>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312" w:hRule="atLeast"/>
          <w:jc w:val="center"/>
        </w:trPr>
        <w:tc>
          <w:tcPr>
            <w:tcW w:w="4998" w:type="pct"/>
            <w:gridSpan w:val="17"/>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12" w:hRule="atLeast"/>
          <w:jc w:val="center"/>
        </w:trPr>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一级指标</w:t>
            </w:r>
          </w:p>
        </w:tc>
        <w:tc>
          <w:tcPr>
            <w:tcW w:w="35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二级指标</w:t>
            </w:r>
          </w:p>
        </w:tc>
        <w:tc>
          <w:tcPr>
            <w:tcW w:w="940"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三级指标</w:t>
            </w:r>
          </w:p>
        </w:tc>
        <w:tc>
          <w:tcPr>
            <w:tcW w:w="618"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年度指标值</w:t>
            </w:r>
          </w:p>
        </w:tc>
        <w:tc>
          <w:tcPr>
            <w:tcW w:w="99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实际值完成值</w:t>
            </w:r>
          </w:p>
        </w:tc>
        <w:tc>
          <w:tcPr>
            <w:tcW w:w="51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分值</w:t>
            </w:r>
          </w:p>
        </w:tc>
        <w:tc>
          <w:tcPr>
            <w:tcW w:w="390"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得分</w:t>
            </w:r>
          </w:p>
        </w:tc>
        <w:tc>
          <w:tcPr>
            <w:tcW w:w="342" w:type="pct"/>
            <w:gridSpan w:val="3"/>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偏差度</w:t>
            </w:r>
          </w:p>
        </w:tc>
        <w:tc>
          <w:tcPr>
            <w:tcW w:w="44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12" w:hRule="atLeast"/>
          <w:jc w:val="center"/>
        </w:trPr>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35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940"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61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99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51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390"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342" w:type="pct"/>
            <w:gridSpan w:val="3"/>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4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成本指标</w:t>
            </w:r>
          </w:p>
        </w:tc>
        <w:tc>
          <w:tcPr>
            <w:tcW w:w="35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经济成本指标</w:t>
            </w:r>
          </w:p>
        </w:tc>
        <w:tc>
          <w:tcPr>
            <w:tcW w:w="940"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总成本</w:t>
            </w:r>
          </w:p>
        </w:tc>
        <w:tc>
          <w:tcPr>
            <w:tcW w:w="61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≤120.3万元</w:t>
            </w:r>
          </w:p>
        </w:tc>
        <w:tc>
          <w:tcPr>
            <w:tcW w:w="9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85.49万元</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w:t>
            </w:r>
          </w:p>
        </w:tc>
        <w:tc>
          <w:tcPr>
            <w:tcW w:w="342"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41"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产出指标</w:t>
            </w:r>
          </w:p>
        </w:tc>
        <w:tc>
          <w:tcPr>
            <w:tcW w:w="35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数量指标</w:t>
            </w:r>
          </w:p>
        </w:tc>
        <w:tc>
          <w:tcPr>
            <w:tcW w:w="940"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开展视察活动</w:t>
            </w:r>
          </w:p>
        </w:tc>
        <w:tc>
          <w:tcPr>
            <w:tcW w:w="61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≥4次</w:t>
            </w:r>
          </w:p>
        </w:tc>
        <w:tc>
          <w:tcPr>
            <w:tcW w:w="9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4次</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8</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8</w:t>
            </w:r>
          </w:p>
        </w:tc>
        <w:tc>
          <w:tcPr>
            <w:tcW w:w="342"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41"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35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940"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开展人大代表履职活动</w:t>
            </w:r>
          </w:p>
        </w:tc>
        <w:tc>
          <w:tcPr>
            <w:tcW w:w="61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≥24次</w:t>
            </w:r>
          </w:p>
        </w:tc>
        <w:tc>
          <w:tcPr>
            <w:tcW w:w="9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24次</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8</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8</w:t>
            </w:r>
          </w:p>
        </w:tc>
        <w:tc>
          <w:tcPr>
            <w:tcW w:w="342"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41"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35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质量指标</w:t>
            </w:r>
          </w:p>
        </w:tc>
        <w:tc>
          <w:tcPr>
            <w:tcW w:w="940"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人大代表建议采纳率</w:t>
            </w:r>
          </w:p>
        </w:tc>
        <w:tc>
          <w:tcPr>
            <w:tcW w:w="61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9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7</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7</w:t>
            </w:r>
          </w:p>
        </w:tc>
        <w:tc>
          <w:tcPr>
            <w:tcW w:w="342"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41"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35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时效指标</w:t>
            </w:r>
          </w:p>
        </w:tc>
        <w:tc>
          <w:tcPr>
            <w:tcW w:w="940"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各类活动开展及时性</w:t>
            </w:r>
          </w:p>
        </w:tc>
        <w:tc>
          <w:tcPr>
            <w:tcW w:w="61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及时</w:t>
            </w:r>
          </w:p>
        </w:tc>
        <w:tc>
          <w:tcPr>
            <w:tcW w:w="9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7</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7</w:t>
            </w:r>
          </w:p>
        </w:tc>
        <w:tc>
          <w:tcPr>
            <w:tcW w:w="342"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41"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06"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效益指标</w:t>
            </w:r>
          </w:p>
        </w:tc>
        <w:tc>
          <w:tcPr>
            <w:tcW w:w="351"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社会效益指标</w:t>
            </w:r>
          </w:p>
        </w:tc>
        <w:tc>
          <w:tcPr>
            <w:tcW w:w="940"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保障社会和谐稳定</w:t>
            </w:r>
          </w:p>
        </w:tc>
        <w:tc>
          <w:tcPr>
            <w:tcW w:w="61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保障</w:t>
            </w:r>
          </w:p>
        </w:tc>
        <w:tc>
          <w:tcPr>
            <w:tcW w:w="9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13</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13</w:t>
            </w:r>
          </w:p>
        </w:tc>
        <w:tc>
          <w:tcPr>
            <w:tcW w:w="342"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41"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06"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351"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940"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促进被监督单位依法开展工作</w:t>
            </w:r>
          </w:p>
        </w:tc>
        <w:tc>
          <w:tcPr>
            <w:tcW w:w="61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促进</w:t>
            </w:r>
          </w:p>
        </w:tc>
        <w:tc>
          <w:tcPr>
            <w:tcW w:w="9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12</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12</w:t>
            </w:r>
          </w:p>
        </w:tc>
        <w:tc>
          <w:tcPr>
            <w:tcW w:w="342"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41"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06"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满意度指标</w:t>
            </w:r>
          </w:p>
        </w:tc>
        <w:tc>
          <w:tcPr>
            <w:tcW w:w="35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服务对象满意度指标</w:t>
            </w:r>
          </w:p>
        </w:tc>
        <w:tc>
          <w:tcPr>
            <w:tcW w:w="940"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人民代表满意度</w:t>
            </w:r>
          </w:p>
        </w:tc>
        <w:tc>
          <w:tcPr>
            <w:tcW w:w="618"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≥95%</w:t>
            </w:r>
          </w:p>
        </w:tc>
        <w:tc>
          <w:tcPr>
            <w:tcW w:w="9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342"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41"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pct"/>
          <w:trHeight w:val="402" w:hRule="atLeast"/>
          <w:jc w:val="center"/>
        </w:trPr>
        <w:tc>
          <w:tcPr>
            <w:tcW w:w="3279" w:type="pct"/>
            <w:gridSpan w:val="9"/>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总分</w:t>
            </w:r>
          </w:p>
        </w:tc>
        <w:tc>
          <w:tcPr>
            <w:tcW w:w="51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601"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131"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75"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tbl>
      <w:tblPr>
        <w:tblStyle w:val="2"/>
        <w:tblW w:w="529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59"/>
        <w:gridCol w:w="1014"/>
        <w:gridCol w:w="999"/>
        <w:gridCol w:w="336"/>
        <w:gridCol w:w="564"/>
        <w:gridCol w:w="510"/>
        <w:gridCol w:w="572"/>
        <w:gridCol w:w="1222"/>
        <w:gridCol w:w="924"/>
        <w:gridCol w:w="468"/>
        <w:gridCol w:w="168"/>
        <w:gridCol w:w="636"/>
        <w:gridCol w:w="85"/>
        <w:gridCol w:w="75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5000" w:type="pct"/>
            <w:gridSpan w:val="1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color w:val="000000"/>
                <w:kern w:val="0"/>
                <w:sz w:val="40"/>
                <w:szCs w:val="4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5000" w:type="pct"/>
            <w:gridSpan w:val="14"/>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2025年6月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98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项目名称</w:t>
            </w:r>
          </w:p>
        </w:tc>
        <w:tc>
          <w:tcPr>
            <w:tcW w:w="4016" w:type="pct"/>
            <w:gridSpan w:val="12"/>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2024年人大会议经费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983"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主管部门</w:t>
            </w:r>
          </w:p>
        </w:tc>
        <w:tc>
          <w:tcPr>
            <w:tcW w:w="74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郸城县人民代表大会常务委员会</w:t>
            </w:r>
          </w:p>
        </w:tc>
        <w:tc>
          <w:tcPr>
            <w:tcW w:w="1591"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实施单位</w:t>
            </w:r>
          </w:p>
        </w:tc>
        <w:tc>
          <w:tcPr>
            <w:tcW w:w="1683" w:type="pct"/>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郸城县人民代表大会常务委员会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983"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项目资金                (万元)</w:t>
            </w:r>
          </w:p>
        </w:tc>
        <w:tc>
          <w:tcPr>
            <w:tcW w:w="554" w:type="pct"/>
            <w:tcBorders>
              <w:top w:val="single" w:color="000000" w:sz="4" w:space="0"/>
              <w:left w:val="single" w:color="000000" w:sz="4" w:space="0"/>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9"/>
                <w:szCs w:val="19"/>
                <w:u w:val="none"/>
              </w:rPr>
            </w:pPr>
          </w:p>
        </w:tc>
        <w:tc>
          <w:tcPr>
            <w:tcW w:w="49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年初预算数</w:t>
            </w:r>
          </w:p>
        </w:tc>
        <w:tc>
          <w:tcPr>
            <w:tcW w:w="60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全年预算数</w:t>
            </w:r>
          </w:p>
        </w:tc>
        <w:tc>
          <w:tcPr>
            <w:tcW w:w="119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全年执行数</w:t>
            </w:r>
          </w:p>
        </w:tc>
        <w:tc>
          <w:tcPr>
            <w:tcW w:w="25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分值</w:t>
            </w:r>
          </w:p>
        </w:tc>
        <w:tc>
          <w:tcPr>
            <w:tcW w:w="49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执行率</w:t>
            </w:r>
          </w:p>
        </w:tc>
        <w:tc>
          <w:tcPr>
            <w:tcW w:w="41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98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55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 xml:space="preserve">  年度资金总额：</w:t>
            </w:r>
          </w:p>
        </w:tc>
        <w:tc>
          <w:tcPr>
            <w:tcW w:w="49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63</w:t>
            </w:r>
          </w:p>
        </w:tc>
        <w:tc>
          <w:tcPr>
            <w:tcW w:w="60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63</w:t>
            </w:r>
          </w:p>
        </w:tc>
        <w:tc>
          <w:tcPr>
            <w:tcW w:w="119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63</w:t>
            </w:r>
          </w:p>
        </w:tc>
        <w:tc>
          <w:tcPr>
            <w:tcW w:w="25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w:t>
            </w:r>
          </w:p>
        </w:tc>
        <w:tc>
          <w:tcPr>
            <w:tcW w:w="49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100.0 %</w:t>
            </w:r>
          </w:p>
        </w:tc>
        <w:tc>
          <w:tcPr>
            <w:tcW w:w="41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98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55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财政拨款</w:t>
            </w:r>
          </w:p>
        </w:tc>
        <w:tc>
          <w:tcPr>
            <w:tcW w:w="49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63</w:t>
            </w:r>
          </w:p>
        </w:tc>
        <w:tc>
          <w:tcPr>
            <w:tcW w:w="60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63</w:t>
            </w:r>
          </w:p>
        </w:tc>
        <w:tc>
          <w:tcPr>
            <w:tcW w:w="119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63</w:t>
            </w:r>
          </w:p>
        </w:tc>
        <w:tc>
          <w:tcPr>
            <w:tcW w:w="25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c>
          <w:tcPr>
            <w:tcW w:w="49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100.0 %</w:t>
            </w:r>
          </w:p>
        </w:tc>
        <w:tc>
          <w:tcPr>
            <w:tcW w:w="41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98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55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财政专户管理资金</w:t>
            </w:r>
          </w:p>
        </w:tc>
        <w:tc>
          <w:tcPr>
            <w:tcW w:w="49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60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119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25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c>
          <w:tcPr>
            <w:tcW w:w="49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1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98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554"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单位资金</w:t>
            </w:r>
          </w:p>
        </w:tc>
        <w:tc>
          <w:tcPr>
            <w:tcW w:w="49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60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1190"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25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c>
          <w:tcPr>
            <w:tcW w:w="493"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1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983"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资金管理情况</w:t>
            </w:r>
          </w:p>
        </w:tc>
        <w:tc>
          <w:tcPr>
            <w:tcW w:w="740" w:type="pct"/>
            <w:gridSpan w:val="2"/>
            <w:tcBorders>
              <w:top w:val="single" w:color="000000" w:sz="4" w:space="0"/>
              <w:left w:val="nil"/>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9"/>
                <w:szCs w:val="19"/>
                <w:u w:val="none"/>
              </w:rPr>
            </w:pPr>
          </w:p>
        </w:tc>
        <w:tc>
          <w:tcPr>
            <w:tcW w:w="1591"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情况说明</w:t>
            </w:r>
          </w:p>
        </w:tc>
        <w:tc>
          <w:tcPr>
            <w:tcW w:w="51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分值（20）</w:t>
            </w:r>
          </w:p>
        </w:tc>
        <w:tc>
          <w:tcPr>
            <w:tcW w:w="35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得分</w:t>
            </w:r>
          </w:p>
        </w:tc>
        <w:tc>
          <w:tcPr>
            <w:tcW w:w="817" w:type="pct"/>
            <w:gridSpan w:val="3"/>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98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74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安排科学性</w:t>
            </w:r>
          </w:p>
        </w:tc>
        <w:tc>
          <w:tcPr>
            <w:tcW w:w="1591"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从完整性、规范性、合理性进行审核，严格绩效管理，提升资金安排科学性。</w:t>
            </w:r>
          </w:p>
        </w:tc>
        <w:tc>
          <w:tcPr>
            <w:tcW w:w="51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35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817" w:type="pct"/>
            <w:gridSpan w:val="3"/>
            <w:tcBorders>
              <w:top w:val="single" w:color="000000" w:sz="4" w:space="0"/>
              <w:left w:val="nil"/>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98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74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拨付合规性</w:t>
            </w:r>
          </w:p>
        </w:tc>
        <w:tc>
          <w:tcPr>
            <w:tcW w:w="1591"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严格按照财务管理制度的要求支出，资金的拨付有完整的审批程序和手续，符合项目预算批复或合同规定的用途。</w:t>
            </w:r>
          </w:p>
        </w:tc>
        <w:tc>
          <w:tcPr>
            <w:tcW w:w="51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35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817" w:type="pct"/>
            <w:gridSpan w:val="3"/>
            <w:tcBorders>
              <w:top w:val="single" w:color="000000" w:sz="4" w:space="0"/>
              <w:left w:val="nil"/>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98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74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使用规范性</w:t>
            </w:r>
          </w:p>
        </w:tc>
        <w:tc>
          <w:tcPr>
            <w:tcW w:w="1591"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无超标列支相关费用，专款专用，不存在截留、挤占、挪用、虚列支出等情况，票据合法合规，财务票证资料较齐全并及时归档。</w:t>
            </w:r>
          </w:p>
        </w:tc>
        <w:tc>
          <w:tcPr>
            <w:tcW w:w="51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35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817" w:type="pct"/>
            <w:gridSpan w:val="3"/>
            <w:tcBorders>
              <w:top w:val="single" w:color="000000" w:sz="4" w:space="0"/>
              <w:left w:val="nil"/>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983"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740" w:type="pct"/>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预算绩效管理情况</w:t>
            </w:r>
          </w:p>
        </w:tc>
        <w:tc>
          <w:tcPr>
            <w:tcW w:w="1591" w:type="pct"/>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推动建立定期分析制度，强化绩效管理入脑入心，督促调整和完善改进，不断推进绩效管理工作全面落实，保障项目的高效开展。</w:t>
            </w:r>
          </w:p>
        </w:tc>
        <w:tc>
          <w:tcPr>
            <w:tcW w:w="51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352"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817" w:type="pct"/>
            <w:gridSpan w:val="3"/>
            <w:tcBorders>
              <w:top w:val="single" w:color="000000" w:sz="4" w:space="0"/>
              <w:left w:val="nil"/>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2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年度总体目标</w:t>
            </w:r>
          </w:p>
        </w:tc>
        <w:tc>
          <w:tcPr>
            <w:tcW w:w="1303"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预期目标</w:t>
            </w:r>
          </w:p>
        </w:tc>
        <w:tc>
          <w:tcPr>
            <w:tcW w:w="3275" w:type="pct"/>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2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1303" w:type="pct"/>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充分发挥常委会党组把方向、管大局、保落实的重要作用，第一时间传达贯彻中央及省委、市委各项决策部署，严格执行重大事项向县委请示报告制度，定期报告常委会党组工作，主动请示人大工作中的重大问题、重要事项。</w:t>
            </w:r>
          </w:p>
        </w:tc>
        <w:tc>
          <w:tcPr>
            <w:tcW w:w="3275" w:type="pct"/>
            <w:gridSpan w:val="10"/>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12" w:hRule="atLeast"/>
          <w:jc w:val="center"/>
        </w:trPr>
        <w:tc>
          <w:tcPr>
            <w:tcW w:w="5000" w:type="pct"/>
            <w:gridSpan w:val="14"/>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12" w:hRule="atLeast"/>
          <w:jc w:val="center"/>
        </w:trPr>
        <w:tc>
          <w:tcPr>
            <w:tcW w:w="5000" w:type="pct"/>
            <w:gridSpan w:val="14"/>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12" w:hRule="atLeast"/>
          <w:jc w:val="center"/>
        </w:trPr>
        <w:tc>
          <w:tcPr>
            <w:tcW w:w="42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一级指标</w:t>
            </w:r>
          </w:p>
        </w:tc>
        <w:tc>
          <w:tcPr>
            <w:tcW w:w="56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二级指标</w:t>
            </w:r>
          </w:p>
        </w:tc>
        <w:tc>
          <w:tcPr>
            <w:tcW w:w="740"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三级指标</w:t>
            </w:r>
          </w:p>
        </w:tc>
        <w:tc>
          <w:tcPr>
            <w:tcW w:w="596"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年度指标值</w:t>
            </w:r>
          </w:p>
        </w:tc>
        <w:tc>
          <w:tcPr>
            <w:tcW w:w="995"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实际值完成值</w:t>
            </w:r>
          </w:p>
        </w:tc>
        <w:tc>
          <w:tcPr>
            <w:tcW w:w="51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分值</w:t>
            </w:r>
          </w:p>
        </w:tc>
        <w:tc>
          <w:tcPr>
            <w:tcW w:w="352"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得分</w:t>
            </w:r>
          </w:p>
        </w:tc>
        <w:tc>
          <w:tcPr>
            <w:tcW w:w="35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偏差度</w:t>
            </w:r>
          </w:p>
        </w:tc>
        <w:tc>
          <w:tcPr>
            <w:tcW w:w="465"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312" w:hRule="atLeast"/>
          <w:jc w:val="center"/>
        </w:trPr>
        <w:tc>
          <w:tcPr>
            <w:tcW w:w="42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562"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740"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596"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995"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512"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35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352"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65"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2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成本指标</w:t>
            </w:r>
          </w:p>
        </w:tc>
        <w:tc>
          <w:tcPr>
            <w:tcW w:w="56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经济成本指标</w:t>
            </w:r>
          </w:p>
        </w:tc>
        <w:tc>
          <w:tcPr>
            <w:tcW w:w="7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总成本</w:t>
            </w:r>
          </w:p>
        </w:tc>
        <w:tc>
          <w:tcPr>
            <w:tcW w:w="5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≤63万元</w:t>
            </w:r>
          </w:p>
        </w:tc>
        <w:tc>
          <w:tcPr>
            <w:tcW w:w="99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63.00万元</w:t>
            </w:r>
          </w:p>
        </w:tc>
        <w:tc>
          <w:tcPr>
            <w:tcW w:w="5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w:t>
            </w:r>
          </w:p>
        </w:tc>
        <w:tc>
          <w:tcPr>
            <w:tcW w:w="35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65"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2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产出指标</w:t>
            </w:r>
          </w:p>
        </w:tc>
        <w:tc>
          <w:tcPr>
            <w:tcW w:w="56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数量指标</w:t>
            </w:r>
          </w:p>
        </w:tc>
        <w:tc>
          <w:tcPr>
            <w:tcW w:w="7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召开人大常委会次数</w:t>
            </w:r>
          </w:p>
        </w:tc>
        <w:tc>
          <w:tcPr>
            <w:tcW w:w="5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≥5次</w:t>
            </w:r>
          </w:p>
        </w:tc>
        <w:tc>
          <w:tcPr>
            <w:tcW w:w="99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5次</w:t>
            </w:r>
          </w:p>
        </w:tc>
        <w:tc>
          <w:tcPr>
            <w:tcW w:w="5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8</w:t>
            </w:r>
          </w:p>
        </w:tc>
        <w:tc>
          <w:tcPr>
            <w:tcW w:w="35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8</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65"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2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562"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7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召开全县人代会</w:t>
            </w:r>
          </w:p>
        </w:tc>
        <w:tc>
          <w:tcPr>
            <w:tcW w:w="5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≥1次</w:t>
            </w:r>
          </w:p>
        </w:tc>
        <w:tc>
          <w:tcPr>
            <w:tcW w:w="99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1次</w:t>
            </w:r>
          </w:p>
        </w:tc>
        <w:tc>
          <w:tcPr>
            <w:tcW w:w="5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8</w:t>
            </w:r>
          </w:p>
        </w:tc>
        <w:tc>
          <w:tcPr>
            <w:tcW w:w="35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8</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65"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2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56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质量指标</w:t>
            </w:r>
          </w:p>
        </w:tc>
        <w:tc>
          <w:tcPr>
            <w:tcW w:w="7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人大代表建议采纳率</w:t>
            </w:r>
          </w:p>
        </w:tc>
        <w:tc>
          <w:tcPr>
            <w:tcW w:w="5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99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5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7</w:t>
            </w:r>
          </w:p>
        </w:tc>
        <w:tc>
          <w:tcPr>
            <w:tcW w:w="35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7</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65"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2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56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时效指标</w:t>
            </w:r>
          </w:p>
        </w:tc>
        <w:tc>
          <w:tcPr>
            <w:tcW w:w="7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各类会议召开及时性</w:t>
            </w:r>
          </w:p>
        </w:tc>
        <w:tc>
          <w:tcPr>
            <w:tcW w:w="5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 xml:space="preserve">  及时</w:t>
            </w:r>
          </w:p>
        </w:tc>
        <w:tc>
          <w:tcPr>
            <w:tcW w:w="99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5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7</w:t>
            </w:r>
          </w:p>
        </w:tc>
        <w:tc>
          <w:tcPr>
            <w:tcW w:w="35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7</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65"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21"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效益指标</w:t>
            </w:r>
          </w:p>
        </w:tc>
        <w:tc>
          <w:tcPr>
            <w:tcW w:w="562"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社会效益指标</w:t>
            </w:r>
          </w:p>
        </w:tc>
        <w:tc>
          <w:tcPr>
            <w:tcW w:w="7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促进被监督单位依法开展工作</w:t>
            </w:r>
          </w:p>
        </w:tc>
        <w:tc>
          <w:tcPr>
            <w:tcW w:w="5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促进</w:t>
            </w:r>
          </w:p>
        </w:tc>
        <w:tc>
          <w:tcPr>
            <w:tcW w:w="99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5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13</w:t>
            </w:r>
          </w:p>
        </w:tc>
        <w:tc>
          <w:tcPr>
            <w:tcW w:w="35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13</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65"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21"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562"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7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保障社会和谐稳定</w:t>
            </w:r>
          </w:p>
        </w:tc>
        <w:tc>
          <w:tcPr>
            <w:tcW w:w="5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 xml:space="preserve">  保障</w:t>
            </w:r>
          </w:p>
        </w:tc>
        <w:tc>
          <w:tcPr>
            <w:tcW w:w="99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5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12</w:t>
            </w:r>
          </w:p>
        </w:tc>
        <w:tc>
          <w:tcPr>
            <w:tcW w:w="35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12</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65"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0" w:hRule="atLeast"/>
          <w:jc w:val="center"/>
        </w:trPr>
        <w:tc>
          <w:tcPr>
            <w:tcW w:w="42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满意度指标</w:t>
            </w:r>
          </w:p>
        </w:tc>
        <w:tc>
          <w:tcPr>
            <w:tcW w:w="56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服务对象满意度指标</w:t>
            </w:r>
          </w:p>
        </w:tc>
        <w:tc>
          <w:tcPr>
            <w:tcW w:w="7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人民代表满意度</w:t>
            </w:r>
          </w:p>
        </w:tc>
        <w:tc>
          <w:tcPr>
            <w:tcW w:w="5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≥95%</w:t>
            </w:r>
          </w:p>
        </w:tc>
        <w:tc>
          <w:tcPr>
            <w:tcW w:w="995"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5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35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65"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wAfter w:w="0" w:type="auto"/>
          <w:trHeight w:val="426" w:hRule="atLeast"/>
          <w:jc w:val="center"/>
        </w:trPr>
        <w:tc>
          <w:tcPr>
            <w:tcW w:w="3316" w:type="pct"/>
            <w:gridSpan w:val="8"/>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总分</w:t>
            </w:r>
          </w:p>
        </w:tc>
        <w:tc>
          <w:tcPr>
            <w:tcW w:w="512"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35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352"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65" w:type="pct"/>
            <w:gridSpan w:val="2"/>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bl>
    <w:p>
      <w:pPr>
        <w:keepNext w:val="0"/>
        <w:keepLines w:val="0"/>
        <w:pageBreakBefore w:val="0"/>
        <w:widowControl/>
        <w:kinsoku/>
        <w:wordWrap/>
        <w:overflowPunct/>
        <w:topLinePunct w:val="0"/>
        <w:autoSpaceDE/>
        <w:autoSpaceDN/>
        <w:bidi w:val="0"/>
        <w:adjustRightInd/>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分。从自评情况看，各项工作总体完成情况较好，部门履职效能进一步提升。</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tbl>
      <w:tblPr>
        <w:tblStyle w:val="2"/>
        <w:tblW w:w="5354"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34"/>
        <w:gridCol w:w="792"/>
        <w:gridCol w:w="1572"/>
        <w:gridCol w:w="816"/>
        <w:gridCol w:w="900"/>
        <w:gridCol w:w="744"/>
        <w:gridCol w:w="732"/>
        <w:gridCol w:w="509"/>
        <w:gridCol w:w="79"/>
        <w:gridCol w:w="708"/>
        <w:gridCol w:w="558"/>
        <w:gridCol w:w="862"/>
        <w:gridCol w:w="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0" w:hRule="atLeast"/>
          <w:jc w:val="center"/>
        </w:trPr>
        <w:tc>
          <w:tcPr>
            <w:tcW w:w="4992" w:type="pct"/>
            <w:gridSpan w:val="1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0" w:hRule="atLeast"/>
          <w:jc w:val="center"/>
        </w:trPr>
        <w:tc>
          <w:tcPr>
            <w:tcW w:w="4992" w:type="pct"/>
            <w:gridSpan w:val="12"/>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2025年6月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0" w:hRule="atLeast"/>
          <w:jc w:val="center"/>
        </w:trPr>
        <w:tc>
          <w:tcPr>
            <w:tcW w:w="1753" w:type="pct"/>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部门（单位）名称</w:t>
            </w:r>
          </w:p>
        </w:tc>
        <w:tc>
          <w:tcPr>
            <w:tcW w:w="3239" w:type="pct"/>
            <w:gridSpan w:val="9"/>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郸城县人民代表大会常务委员会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0" w:hRule="atLeast"/>
          <w:jc w:val="center"/>
        </w:trPr>
        <w:tc>
          <w:tcPr>
            <w:tcW w:w="457" w:type="pct"/>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部门整体支出情况(万元)</w:t>
            </w:r>
          </w:p>
        </w:tc>
        <w:tc>
          <w:tcPr>
            <w:tcW w:w="1296" w:type="pct"/>
            <w:gridSpan w:val="2"/>
            <w:tcBorders>
              <w:top w:val="single" w:color="000000" w:sz="4" w:space="0"/>
              <w:left w:val="single" w:color="000000" w:sz="4" w:space="0"/>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9"/>
                <w:szCs w:val="19"/>
                <w:u w:val="none"/>
              </w:rPr>
            </w:pPr>
          </w:p>
        </w:tc>
        <w:tc>
          <w:tcPr>
            <w:tcW w:w="44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年初预算数</w:t>
            </w:r>
          </w:p>
        </w:tc>
        <w:tc>
          <w:tcPr>
            <w:tcW w:w="49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全年预算数</w:t>
            </w:r>
          </w:p>
        </w:tc>
        <w:tc>
          <w:tcPr>
            <w:tcW w:w="80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全年执行数</w:t>
            </w:r>
          </w:p>
        </w:tc>
        <w:tc>
          <w:tcPr>
            <w:tcW w:w="27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分值</w:t>
            </w:r>
          </w:p>
        </w:tc>
        <w:tc>
          <w:tcPr>
            <w:tcW w:w="737"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执行率</w:t>
            </w:r>
          </w:p>
        </w:tc>
        <w:tc>
          <w:tcPr>
            <w:tcW w:w="4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0" w:hRule="atLeast"/>
          <w:jc w:val="center"/>
        </w:trPr>
        <w:tc>
          <w:tcPr>
            <w:tcW w:w="457" w:type="pct"/>
            <w:vMerge w:val="continue"/>
            <w:tcBorders>
              <w:top w:val="single" w:color="000000" w:sz="4" w:space="0"/>
              <w:left w:val="single" w:color="000000" w:sz="4" w:space="0"/>
              <w:bottom w:val="nil"/>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12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部门预算总额</w:t>
            </w:r>
          </w:p>
        </w:tc>
        <w:tc>
          <w:tcPr>
            <w:tcW w:w="44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441.23</w:t>
            </w:r>
          </w:p>
        </w:tc>
        <w:tc>
          <w:tcPr>
            <w:tcW w:w="49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506.27</w:t>
            </w:r>
          </w:p>
        </w:tc>
        <w:tc>
          <w:tcPr>
            <w:tcW w:w="80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500.82</w:t>
            </w:r>
          </w:p>
        </w:tc>
        <w:tc>
          <w:tcPr>
            <w:tcW w:w="27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w:t>
            </w:r>
          </w:p>
        </w:tc>
        <w:tc>
          <w:tcPr>
            <w:tcW w:w="737"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98.92 %</w:t>
            </w:r>
          </w:p>
        </w:tc>
        <w:tc>
          <w:tcPr>
            <w:tcW w:w="4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0" w:hRule="atLeast"/>
          <w:jc w:val="center"/>
        </w:trPr>
        <w:tc>
          <w:tcPr>
            <w:tcW w:w="457" w:type="pct"/>
            <w:vMerge w:val="continue"/>
            <w:tcBorders>
              <w:top w:val="single" w:color="000000" w:sz="4" w:space="0"/>
              <w:left w:val="single" w:color="000000" w:sz="4" w:space="0"/>
              <w:bottom w:val="nil"/>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12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 xml:space="preserve">     资金来源：（1）财政拨款</w:t>
            </w:r>
          </w:p>
        </w:tc>
        <w:tc>
          <w:tcPr>
            <w:tcW w:w="44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441.23</w:t>
            </w:r>
          </w:p>
        </w:tc>
        <w:tc>
          <w:tcPr>
            <w:tcW w:w="49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502.61</w:t>
            </w:r>
          </w:p>
        </w:tc>
        <w:tc>
          <w:tcPr>
            <w:tcW w:w="80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498.63</w:t>
            </w:r>
          </w:p>
        </w:tc>
        <w:tc>
          <w:tcPr>
            <w:tcW w:w="27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c>
          <w:tcPr>
            <w:tcW w:w="737"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99.21 %</w:t>
            </w:r>
          </w:p>
        </w:tc>
        <w:tc>
          <w:tcPr>
            <w:tcW w:w="4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0" w:hRule="atLeast"/>
          <w:jc w:val="center"/>
        </w:trPr>
        <w:tc>
          <w:tcPr>
            <w:tcW w:w="457" w:type="pct"/>
            <w:vMerge w:val="continue"/>
            <w:tcBorders>
              <w:top w:val="single" w:color="000000" w:sz="4" w:space="0"/>
              <w:left w:val="single" w:color="000000" w:sz="4" w:space="0"/>
              <w:bottom w:val="nil"/>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12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 xml:space="preserve">       （2）财政专户管理资金</w:t>
            </w:r>
          </w:p>
        </w:tc>
        <w:tc>
          <w:tcPr>
            <w:tcW w:w="44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49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80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27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c>
          <w:tcPr>
            <w:tcW w:w="737"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4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0" w:hRule="atLeast"/>
          <w:jc w:val="center"/>
        </w:trPr>
        <w:tc>
          <w:tcPr>
            <w:tcW w:w="457" w:type="pct"/>
            <w:vMerge w:val="continue"/>
            <w:tcBorders>
              <w:top w:val="single" w:color="000000" w:sz="4" w:space="0"/>
              <w:left w:val="single" w:color="000000" w:sz="4" w:space="0"/>
              <w:bottom w:val="nil"/>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1296"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left"/>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 xml:space="preserve">              （3）单位资金</w:t>
            </w:r>
          </w:p>
        </w:tc>
        <w:tc>
          <w:tcPr>
            <w:tcW w:w="447"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493"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3.66</w:t>
            </w:r>
          </w:p>
        </w:tc>
        <w:tc>
          <w:tcPr>
            <w:tcW w:w="809"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2.19</w:t>
            </w:r>
          </w:p>
        </w:tc>
        <w:tc>
          <w:tcPr>
            <w:tcW w:w="279"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c>
          <w:tcPr>
            <w:tcW w:w="737"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59.84 %</w:t>
            </w:r>
          </w:p>
        </w:tc>
        <w:tc>
          <w:tcPr>
            <w:tcW w:w="472" w:type="pc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0" w:hRule="atLeast"/>
          <w:jc w:val="center"/>
        </w:trPr>
        <w:tc>
          <w:tcPr>
            <w:tcW w:w="45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年度履职目标</w:t>
            </w:r>
          </w:p>
        </w:tc>
        <w:tc>
          <w:tcPr>
            <w:tcW w:w="2237" w:type="pct"/>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预期目标</w:t>
            </w:r>
          </w:p>
        </w:tc>
        <w:tc>
          <w:tcPr>
            <w:tcW w:w="2298" w:type="pct"/>
            <w:gridSpan w:val="7"/>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2237" w:type="pct"/>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坚持党的领导、人民当家作主、依法治国有机统一，积极适应人大工作新形势、新要求，依法履行职权，主动担当作为。</w:t>
            </w:r>
          </w:p>
        </w:tc>
        <w:tc>
          <w:tcPr>
            <w:tcW w:w="2298" w:type="pct"/>
            <w:gridSpan w:val="7"/>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snapToGrid w:val="0"/>
              <w:jc w:val="center"/>
              <w:textAlignment w:val="top"/>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312" w:hRule="atLeast"/>
          <w:jc w:val="center"/>
        </w:trPr>
        <w:tc>
          <w:tcPr>
            <w:tcW w:w="4992" w:type="pct"/>
            <w:gridSpan w:val="12"/>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312" w:hRule="atLeast"/>
          <w:jc w:val="center"/>
        </w:trPr>
        <w:tc>
          <w:tcPr>
            <w:tcW w:w="4992" w:type="pct"/>
            <w:gridSpan w:val="12"/>
            <w:vMerge w:val="continue"/>
            <w:tcBorders>
              <w:top w:val="single" w:color="000000" w:sz="4" w:space="0"/>
              <w:left w:val="single" w:color="000000" w:sz="4" w:space="0"/>
              <w:bottom w:val="single" w:color="000000" w:sz="4" w:space="0"/>
              <w:right w:val="single" w:color="000000" w:sz="4" w:space="0"/>
            </w:tcBorders>
            <w:noWrap/>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0" w:hRule="atLeast"/>
          <w:jc w:val="center"/>
        </w:trPr>
        <w:tc>
          <w:tcPr>
            <w:tcW w:w="8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任务名称</w:t>
            </w:r>
          </w:p>
        </w:tc>
        <w:tc>
          <w:tcPr>
            <w:tcW w:w="1802" w:type="pct"/>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主要内容</w:t>
            </w:r>
          </w:p>
        </w:tc>
        <w:tc>
          <w:tcPr>
            <w:tcW w:w="2298" w:type="pct"/>
            <w:gridSpan w:val="7"/>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0" w:hRule="atLeast"/>
          <w:jc w:val="center"/>
        </w:trPr>
        <w:tc>
          <w:tcPr>
            <w:tcW w:w="89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1.依法决定重大事项</w:t>
            </w:r>
          </w:p>
        </w:tc>
        <w:tc>
          <w:tcPr>
            <w:tcW w:w="1802"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坚持发挥维护党的主张和人民意志的职能作用，着力推进重大事项决定法治化，认真落实政治性、法律性、程序性要求，科学界定范围，提高议事质量，规范权力行使，推动决定落实。</w:t>
            </w:r>
          </w:p>
        </w:tc>
        <w:tc>
          <w:tcPr>
            <w:tcW w:w="2298"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0" w:hRule="atLeast"/>
          <w:jc w:val="center"/>
        </w:trPr>
        <w:tc>
          <w:tcPr>
            <w:tcW w:w="89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2.依法做好人事任免</w:t>
            </w:r>
          </w:p>
        </w:tc>
        <w:tc>
          <w:tcPr>
            <w:tcW w:w="1802"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坚持党管干部原则和人大依法任免的有机统一，确保了党委组织人事意图顺利实现。</w:t>
            </w:r>
          </w:p>
        </w:tc>
        <w:tc>
          <w:tcPr>
            <w:tcW w:w="2298"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0" w:hRule="atLeast"/>
          <w:jc w:val="center"/>
        </w:trPr>
        <w:tc>
          <w:tcPr>
            <w:tcW w:w="891"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3.依法保障法律实施</w:t>
            </w:r>
          </w:p>
        </w:tc>
        <w:tc>
          <w:tcPr>
            <w:tcW w:w="1802"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扎实开展《宪法》、《民法典》学习宣传，协同县司法、宣传等部门及乡镇、办人大，把《民法典》作为法律“七进”活动的重要内容和各级人大代表履职培训的必修课程。</w:t>
            </w:r>
          </w:p>
        </w:tc>
        <w:tc>
          <w:tcPr>
            <w:tcW w:w="2298" w:type="pct"/>
            <w:gridSpan w:val="7"/>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已完成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312" w:hRule="atLeast"/>
          <w:jc w:val="center"/>
        </w:trPr>
        <w:tc>
          <w:tcPr>
            <w:tcW w:w="4992" w:type="pct"/>
            <w:gridSpan w:val="1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7" w:type="pct"/>
          <w:trHeight w:val="312" w:hRule="atLeast"/>
          <w:jc w:val="center"/>
        </w:trPr>
        <w:tc>
          <w:tcPr>
            <w:tcW w:w="4992" w:type="pct"/>
            <w:gridSpan w:val="12"/>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一级指标</w:t>
            </w:r>
          </w:p>
        </w:tc>
        <w:tc>
          <w:tcPr>
            <w:tcW w:w="4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二级指标</w:t>
            </w: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三级指标</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年度指标值</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实际完成值</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分值</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得分</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偏差度</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投入管理指标</w:t>
            </w:r>
          </w:p>
        </w:tc>
        <w:tc>
          <w:tcPr>
            <w:tcW w:w="43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工作目标管理</w:t>
            </w: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年度履职目标相关性</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相关</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工作任务科学性</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科学</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绩效指标合理性</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合理</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预算和财务管理</w:t>
            </w: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预算编制完整性</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完整</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专项资金细化率</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≥95%</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预算调整率</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≤20%</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14.74%</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结转结余率</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≤20%</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1.08%</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“三公经费”控制率</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≤80%</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政府采购执行率</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≥80%</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决算真实性</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真实</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资金使用合规性</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合规</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管理制度健全性</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健全</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预决算信息公开性</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公开</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资产管理规范性</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规范</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绩效管理</w:t>
            </w: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绩效监控完成率</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绩效目标编制完成率</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绩效自评完成率</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部门绩效评价完成率</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评价结果应用率</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2</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产出指标</w:t>
            </w:r>
          </w:p>
        </w:tc>
        <w:tc>
          <w:tcPr>
            <w:tcW w:w="434"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重点工作任务完成</w:t>
            </w: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 xml:space="preserve"> 任务1完成率</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6</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6</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 xml:space="preserve"> 任务2完成率</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6</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6</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 xml:space="preserve"> 任务3完成率</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6</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6</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履职目标实现</w:t>
            </w: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履职目标实现率</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7</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7</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效益指标</w:t>
            </w:r>
          </w:p>
        </w:tc>
        <w:tc>
          <w:tcPr>
            <w:tcW w:w="4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履职效益</w:t>
            </w: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 xml:space="preserve"> 保障人大代表正常履职</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保障</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17</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17</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457" w:type="pct"/>
            <w:vMerge w:val="continue"/>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434"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满意度</w:t>
            </w:r>
          </w:p>
        </w:tc>
        <w:tc>
          <w:tcPr>
            <w:tcW w:w="86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 xml:space="preserve"> 社会公众满意度</w:t>
            </w:r>
          </w:p>
        </w:tc>
        <w:tc>
          <w:tcPr>
            <w:tcW w:w="940"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≥90%</w:t>
            </w:r>
          </w:p>
        </w:tc>
        <w:tc>
          <w:tcPr>
            <w:tcW w:w="407"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18</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18</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0.00</w:t>
            </w: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4" w:hRule="atLeast"/>
          <w:jc w:val="center"/>
        </w:trPr>
        <w:tc>
          <w:tcPr>
            <w:tcW w:w="3102" w:type="pct"/>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总分</w:t>
            </w:r>
          </w:p>
        </w:tc>
        <w:tc>
          <w:tcPr>
            <w:tcW w:w="40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322" w:type="pct"/>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snapToGrid w:val="0"/>
              <w:jc w:val="center"/>
              <w:textAlignment w:val="center"/>
              <w:rPr>
                <w:rFonts w:hint="eastAsia" w:ascii="宋体" w:hAnsi="宋体" w:eastAsia="宋体" w:cs="宋体"/>
                <w:i w:val="0"/>
                <w:iCs w:val="0"/>
                <w:color w:val="000000"/>
                <w:sz w:val="19"/>
                <w:szCs w:val="19"/>
                <w:u w:val="none"/>
              </w:rPr>
            </w:pPr>
            <w:r>
              <w:rPr>
                <w:rFonts w:hint="eastAsia" w:ascii="宋体" w:hAnsi="宋体" w:eastAsia="宋体" w:cs="宋体"/>
                <w:i w:val="0"/>
                <w:iCs w:val="0"/>
                <w:color w:val="000000"/>
                <w:kern w:val="0"/>
                <w:sz w:val="19"/>
                <w:szCs w:val="19"/>
                <w:u w:val="none"/>
                <w:lang w:val="en-US" w:eastAsia="zh-CN" w:bidi="ar"/>
              </w:rPr>
              <w:t>100</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c>
          <w:tcPr>
            <w:tcW w:w="785" w:type="pct"/>
            <w:gridSpan w:val="3"/>
            <w:tcBorders>
              <w:top w:val="single" w:color="000000" w:sz="4" w:space="0"/>
              <w:left w:val="single" w:color="000000" w:sz="4" w:space="0"/>
              <w:bottom w:val="single" w:color="000000" w:sz="4" w:space="0"/>
              <w:right w:val="single" w:color="000000" w:sz="4" w:space="0"/>
            </w:tcBorders>
            <w:noWrap w:val="0"/>
            <w:vAlign w:val="center"/>
          </w:tcPr>
          <w:p>
            <w:pPr>
              <w:snapToGrid w:val="0"/>
              <w:jc w:val="center"/>
              <w:rPr>
                <w:rFonts w:hint="eastAsia" w:ascii="宋体" w:hAnsi="宋体" w:eastAsia="宋体" w:cs="宋体"/>
                <w:i w:val="0"/>
                <w:iCs w:val="0"/>
                <w:color w:val="000000"/>
                <w:sz w:val="19"/>
                <w:szCs w:val="19"/>
                <w:u w:val="none"/>
              </w:rPr>
            </w:pPr>
          </w:p>
        </w:tc>
      </w:tr>
    </w:tbl>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90" w:lineRule="exact"/>
        <w:ind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kinsoku/>
        <w:wordWrap/>
        <w:overflowPunct/>
        <w:topLinePunct w:val="0"/>
        <w:autoSpaceDE/>
        <w:autoSpaceDN/>
        <w:bidi w:val="0"/>
        <w:adjustRightInd/>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kinsoku/>
        <w:wordWrap/>
        <w:overflowPunct/>
        <w:topLinePunct w:val="0"/>
        <w:autoSpaceDE/>
        <w:autoSpaceDN/>
        <w:bidi w:val="0"/>
        <w:adjustRightInd/>
        <w:jc w:val="center"/>
        <w:rPr>
          <w:rFonts w:hint="eastAsia" w:ascii="黑体" w:hAnsi="黑体" w:eastAsia="黑体" w:cs="黑体"/>
          <w:sz w:val="48"/>
          <w:szCs w:val="48"/>
          <w:lang w:val="en-US" w:eastAsia="zh-CN"/>
        </w:rPr>
      </w:pP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kinsoku/>
        <w:wordWrap/>
        <w:overflowPunct/>
        <w:topLinePunct w:val="0"/>
        <w:autoSpaceDE/>
        <w:autoSpaceDN/>
        <w:bidi w:val="0"/>
        <w:adjustRightInd/>
        <w:jc w:val="center"/>
        <w:outlineLvl w:val="0"/>
        <w:rPr>
          <w:rFonts w:ascii="黑体" w:hAnsi="黑体" w:eastAsia="黑体" w:cs="黑体"/>
          <w:sz w:val="48"/>
          <w:szCs w:val="48"/>
          <w:lang w:val="en-US" w:eastAsia="zh-CN"/>
        </w:rPr>
      </w:pPr>
    </w:p>
    <w:p>
      <w:pPr>
        <w:keepNext w:val="0"/>
        <w:keepLines w:val="0"/>
        <w:pageBreakBefore w:val="0"/>
        <w:widowControl/>
        <w:kinsoku/>
        <w:wordWrap/>
        <w:overflowPunct/>
        <w:topLinePunct w:val="0"/>
        <w:autoSpaceDE/>
        <w:autoSpaceDN/>
        <w:bidi w:val="0"/>
        <w:adjustRightInd/>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0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仿宋_GB2312">
    <w:altName w:val="方正仿宋_GBK"/>
    <w:panose1 w:val="02000000000000000000"/>
    <w:charset w:val="00"/>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B76C46"/>
    <w:rsid w:val="56A93EC5"/>
    <w:rsid w:val="5EFE13B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32</Pages>
  <Words>4788</Words>
  <Characters>7099</Characters>
  <Lines>1</Lines>
  <Paragraphs>1</Paragraphs>
  <TotalTime>20</TotalTime>
  <ScaleCrop>false</ScaleCrop>
  <LinksUpToDate>false</LinksUpToDate>
  <CharactersWithSpaces>7721</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2025-12-05T18:27:57Z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eyJoZGlkIjoiOGU4NTA3ZDNjMmRhODViODE3ZDhmZWNmYjE1YWUwYTYiLCJ1c2VySWQiOiIzMzczNzcwOTYifQ==</vt:lpwstr>
  </property>
  <property fmtid="{D5CDD505-2E9C-101B-9397-08002B2CF9AE}" pid="4" name="ICV">
    <vt:lpwstr>9C7258DA1F96D4CAADB3326921B50E66</vt:lpwstr>
  </property>
</Properties>
</file>