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郸城县妇女联合会部门决算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郸城县妇女联合会概况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郸城县妇女联合会概况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郸城县妇女联合会是社会群众团体，参照公务员管理机构，是妇女群众联系党和政府的桥梁和纽带，是国家政权的重要社会支柱。基本职能是：代表和维护妇女儿童权益，促进男女平等。</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郸城县妇女联合会内设机构</w:t>
      </w:r>
      <w:r>
        <w:rPr>
          <w:rFonts w:hint="eastAsia" w:ascii="仿宋_GB2312" w:hAnsi="宋体" w:eastAsia="仿宋_GB2312" w:cs="Courier New"/>
          <w:kern w:val="0"/>
          <w:sz w:val="32"/>
          <w:szCs w:val="32"/>
          <w:lang w:val="en-US" w:eastAsia="zh-CN"/>
        </w:rPr>
        <w:t>1</w:t>
      </w:r>
      <w:r>
        <w:rPr>
          <w:rFonts w:hint="eastAsia" w:ascii="仿宋" w:hAnsi="仿宋" w:eastAsia="仿宋" w:cs="仿宋"/>
          <w:kern w:val="0"/>
          <w:sz w:val="32"/>
          <w:szCs w:val="32"/>
          <w:lang w:val="en-US" w:eastAsia="zh-CN"/>
        </w:rPr>
        <w:t>个,包括：</w:t>
      </w:r>
      <w:r>
        <w:rPr>
          <w:rFonts w:hint="eastAsia" w:ascii="仿宋_GB2312" w:hAnsi="宋体" w:eastAsia="仿宋_GB2312" w:cs="Courier New"/>
          <w:kern w:val="0"/>
          <w:sz w:val="32"/>
          <w:szCs w:val="32"/>
          <w:lang w:val="en-US" w:eastAsia="zh-CN"/>
        </w:rPr>
        <w:t>办公室。</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从决算单位构成看，郸城县妇女联合会部门决算为本级决算。</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纳入本部门2024年度部门决算编制范围的单位共一个：</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郸城县妇女联合会本级，无二级决算单位。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黑体" w:hAnsi="宋体" w:eastAsia="黑体" w:cs="宋体"/>
          <w:kern w:val="0"/>
          <w:sz w:val="28"/>
          <w:szCs w:val="28"/>
          <w:lang w:val="en-US" w:eastAsia="zh-CN"/>
        </w:rPr>
      </w:pPr>
      <w:r>
        <w:rPr>
          <w:rFonts w:hint="eastAsia" w:ascii="仿宋" w:hAnsi="仿宋" w:eastAsia="仿宋" w:cs="仿宋"/>
          <w:kern w:val="0"/>
          <w:sz w:val="32"/>
          <w:szCs w:val="32"/>
          <w:lang w:val="en-US" w:eastAsia="zh-CN"/>
        </w:rPr>
        <w:br w:type="page"/>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sz w:val="18"/>
                <w:szCs w:val="18"/>
              </w:rPr>
            </w:pPr>
            <w:r>
              <w:rPr>
                <w:rFonts w:ascii="宋体" w:hAnsi="宋体" w:eastAsia="宋体" w:cs="宋体"/>
                <w:b w:val="0"/>
                <w:i w:val="0"/>
                <w:color w:val="000000"/>
                <w:sz w:val="18"/>
                <w:szCs w:val="18"/>
              </w:rPr>
              <w:t>收入</w:t>
            </w:r>
          </w:p>
        </w:tc>
        <w:tc>
          <w:tcPr>
            <w:tcW w:w="6404" w:type="dxa"/>
            <w:gridSpan w:val="3"/>
            <w:vAlign w:val="center"/>
          </w:tcPr>
          <w:p>
            <w:pPr>
              <w:snapToGrid w:val="0"/>
              <w:jc w:val="center"/>
              <w:rPr>
                <w:sz w:val="18"/>
                <w:szCs w:val="18"/>
              </w:rPr>
            </w:pPr>
            <w:r>
              <w:rPr>
                <w:rFonts w:ascii="宋体" w:hAnsi="宋体" w:eastAsia="宋体" w:cs="宋体"/>
                <w:b w:val="0"/>
                <w:i w:val="0"/>
                <w:color w:val="000000"/>
                <w:sz w:val="18"/>
                <w:szCs w:val="18"/>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金额</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项目</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行次</w:t>
            </w: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5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334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80" w:type="dxa"/>
            <w:vAlign w:val="center"/>
          </w:tcPr>
          <w:p>
            <w:pPr>
              <w:rPr>
                <w:sz w:val="18"/>
                <w:szCs w:val="18"/>
              </w:rPr>
            </w:pPr>
          </w:p>
        </w:tc>
        <w:tc>
          <w:tcPr>
            <w:tcW w:w="2484" w:type="dxa"/>
            <w:vAlign w:val="center"/>
          </w:tcPr>
          <w:p>
            <w:pPr>
              <w:snapToGrid w:val="0"/>
              <w:jc w:val="center"/>
              <w:rPr>
                <w:sz w:val="18"/>
                <w:szCs w:val="18"/>
              </w:rPr>
            </w:pPr>
            <w:r>
              <w:rPr>
                <w:rFonts w:ascii="宋体" w:hAnsi="宋体" w:eastAsia="宋体" w:cs="宋体"/>
                <w:b w:val="0"/>
                <w:i w:val="0"/>
                <w:color w:val="000000"/>
                <w:sz w:val="18"/>
                <w:szCs w:val="18"/>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98.94</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142.43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四、上级补助收入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五、事业收入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六、经营收入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七、附属单位上缴收入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八、其他收入</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5.77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4.24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3.30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18.00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sz w:val="18"/>
                <w:szCs w:val="18"/>
              </w:rPr>
            </w:pP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2500" w:type="dxa"/>
            <w:vAlign w:val="center"/>
          </w:tcPr>
          <w:p>
            <w:pPr>
              <w:rPr>
                <w:sz w:val="18"/>
                <w:szCs w:val="18"/>
              </w:rPr>
            </w:pPr>
          </w:p>
        </w:tc>
        <w:tc>
          <w:tcPr>
            <w:tcW w:w="3340"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173.74</w:t>
            </w:r>
          </w:p>
        </w:tc>
        <w:tc>
          <w:tcPr>
            <w:tcW w:w="3340"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173.74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使用非财政拨款结余（含专用结余）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结余分配</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sz w:val="18"/>
                <w:szCs w:val="18"/>
              </w:rPr>
            </w:pPr>
            <w:r>
              <w:rPr>
                <w:rFonts w:ascii="宋体" w:hAnsi="宋体" w:eastAsia="宋体" w:cs="宋体"/>
                <w:b w:val="0"/>
                <w:i w:val="0"/>
                <w:color w:val="000000"/>
                <w:sz w:val="18"/>
                <w:szCs w:val="18"/>
              </w:rPr>
              <w:t>年初结转和结余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3340" w:type="dxa"/>
            <w:vAlign w:val="center"/>
          </w:tcPr>
          <w:p>
            <w:pPr>
              <w:snapToGrid w:val="0"/>
              <w:jc w:val="left"/>
              <w:rPr>
                <w:sz w:val="18"/>
                <w:szCs w:val="18"/>
              </w:rPr>
            </w:pPr>
            <w:r>
              <w:rPr>
                <w:rFonts w:ascii="宋体" w:hAnsi="宋体" w:eastAsia="宋体" w:cs="宋体"/>
                <w:b w:val="0"/>
                <w:i w:val="0"/>
                <w:color w:val="000000"/>
                <w:sz w:val="18"/>
                <w:szCs w:val="18"/>
              </w:rPr>
              <w:t>年末结转和结余</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2500" w:type="dxa"/>
            <w:vAlign w:val="center"/>
          </w:tcPr>
          <w:p>
            <w:pPr>
              <w:snapToGrid w:val="0"/>
              <w:jc w:val="right"/>
              <w:rPr>
                <w:sz w:val="18"/>
                <w:szCs w:val="18"/>
              </w:rPr>
            </w:pPr>
            <w:r>
              <w:rPr>
                <w:rFonts w:ascii="宋体" w:hAnsi="宋体" w:eastAsia="宋体" w:cs="宋体"/>
                <w:b w:val="0"/>
                <w:i w:val="0"/>
                <w:color w:val="000000"/>
                <w:sz w:val="18"/>
                <w:szCs w:val="18"/>
              </w:rPr>
              <w:t>173.74</w:t>
            </w:r>
          </w:p>
        </w:tc>
        <w:tc>
          <w:tcPr>
            <w:tcW w:w="334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80"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2484" w:type="dxa"/>
            <w:vAlign w:val="center"/>
          </w:tcPr>
          <w:p>
            <w:pPr>
              <w:snapToGrid w:val="0"/>
              <w:jc w:val="right"/>
              <w:rPr>
                <w:sz w:val="18"/>
                <w:szCs w:val="18"/>
              </w:rPr>
            </w:pPr>
            <w:r>
              <w:rPr>
                <w:rFonts w:ascii="宋体" w:hAnsi="宋体" w:eastAsia="宋体" w:cs="宋体"/>
                <w:b w:val="0"/>
                <w:i w:val="0"/>
                <w:color w:val="000000"/>
                <w:sz w:val="18"/>
                <w:szCs w:val="18"/>
              </w:rPr>
              <w:t>173.74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22"/>
        <w:gridCol w:w="2338"/>
        <w:gridCol w:w="820"/>
        <w:gridCol w:w="820"/>
        <w:gridCol w:w="820"/>
        <w:gridCol w:w="820"/>
        <w:gridCol w:w="820"/>
        <w:gridCol w:w="82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本年收入合计</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财政拨款收入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上级补助收入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事业收入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经营收入</w:t>
            </w:r>
          </w:p>
        </w:tc>
        <w:tc>
          <w:tcPr>
            <w:tcW w:w="820" w:type="dxa"/>
            <w:vMerge w:val="restart"/>
            <w:vAlign w:val="center"/>
          </w:tcPr>
          <w:p>
            <w:pPr>
              <w:snapToGrid w:val="0"/>
              <w:jc w:val="center"/>
              <w:rPr>
                <w:sz w:val="18"/>
                <w:szCs w:val="18"/>
              </w:rPr>
            </w:pPr>
            <w:r>
              <w:rPr>
                <w:rFonts w:ascii="宋体" w:hAnsi="宋体" w:eastAsia="宋体" w:cs="宋体"/>
                <w:b w:val="0"/>
                <w:i w:val="0"/>
                <w:color w:val="000000"/>
                <w:sz w:val="18"/>
                <w:szCs w:val="18"/>
              </w:rPr>
              <w:t>附属单位上缴收入</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338"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continue"/>
            <w:vAlign w:val="center"/>
          </w:tcPr>
          <w:p>
            <w:pPr>
              <w:rPr>
                <w:sz w:val="18"/>
                <w:szCs w:val="18"/>
              </w:rPr>
            </w:pPr>
          </w:p>
        </w:tc>
        <w:tc>
          <w:tcPr>
            <w:tcW w:w="2338"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Merge w:val="continue"/>
            <w:vAlign w:val="center"/>
          </w:tcPr>
          <w:p>
            <w:pPr>
              <w:rPr>
                <w:sz w:val="18"/>
                <w:szCs w:val="18"/>
              </w:rPr>
            </w:pPr>
          </w:p>
        </w:tc>
        <w:tc>
          <w:tcPr>
            <w:tcW w:w="2338"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2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2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173.74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116.94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56.80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142.43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56.80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2"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20103</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政府办公厅（室）及相关机构事务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56.80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2010301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56.80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20129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群众团体事务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2012901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2012902</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68"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22960</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彩票公益金安排的支出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7" w:hRule="exact"/>
          <w:jc w:val="center"/>
        </w:trPr>
        <w:tc>
          <w:tcPr>
            <w:tcW w:w="922" w:type="dxa"/>
            <w:vAlign w:val="center"/>
          </w:tcPr>
          <w:p>
            <w:pPr>
              <w:snapToGrid w:val="0"/>
              <w:jc w:val="left"/>
              <w:rPr>
                <w:sz w:val="18"/>
                <w:szCs w:val="18"/>
              </w:rPr>
            </w:pPr>
            <w:r>
              <w:rPr>
                <w:rFonts w:ascii="宋体" w:hAnsi="宋体" w:eastAsia="宋体" w:cs="宋体"/>
                <w:b w:val="0"/>
                <w:i w:val="0"/>
                <w:color w:val="000000"/>
                <w:sz w:val="18"/>
                <w:szCs w:val="18"/>
              </w:rPr>
              <w:t>2296099</w:t>
            </w:r>
          </w:p>
        </w:tc>
        <w:tc>
          <w:tcPr>
            <w:tcW w:w="2338" w:type="dxa"/>
            <w:vAlign w:val="center"/>
          </w:tcPr>
          <w:p>
            <w:pPr>
              <w:snapToGrid w:val="0"/>
              <w:jc w:val="left"/>
              <w:rPr>
                <w:sz w:val="18"/>
                <w:szCs w:val="18"/>
              </w:rPr>
            </w:pPr>
            <w:r>
              <w:rPr>
                <w:rFonts w:ascii="宋体" w:hAnsi="宋体" w:eastAsia="宋体" w:cs="宋体"/>
                <w:b w:val="0"/>
                <w:i w:val="0"/>
                <w:color w:val="000000"/>
                <w:sz w:val="18"/>
                <w:szCs w:val="18"/>
              </w:rPr>
              <w:t>用于其他社会公益事业的彩票公益金支出</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2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47"/>
        <w:gridCol w:w="2733"/>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本年支出合计</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上缴上级支出</w:t>
            </w:r>
          </w:p>
        </w:tc>
        <w:tc>
          <w:tcPr>
            <w:tcW w:w="900" w:type="dxa"/>
            <w:vMerge w:val="restart"/>
            <w:vAlign w:val="center"/>
          </w:tcPr>
          <w:p>
            <w:pPr>
              <w:snapToGrid w:val="0"/>
              <w:jc w:val="center"/>
              <w:rPr>
                <w:sz w:val="18"/>
                <w:szCs w:val="18"/>
              </w:rPr>
            </w:pPr>
            <w:r>
              <w:rPr>
                <w:rFonts w:ascii="宋体" w:hAnsi="宋体" w:eastAsia="宋体" w:cs="宋体"/>
                <w:b w:val="0"/>
                <w:i w:val="0"/>
                <w:color w:val="000000"/>
                <w:sz w:val="18"/>
                <w:szCs w:val="18"/>
              </w:rPr>
              <w:t>经营支出</w:t>
            </w:r>
          </w:p>
        </w:tc>
        <w:tc>
          <w:tcPr>
            <w:tcW w:w="846" w:type="dxa"/>
            <w:vMerge w:val="restart"/>
            <w:vAlign w:val="center"/>
          </w:tcPr>
          <w:p>
            <w:pPr>
              <w:snapToGrid w:val="0"/>
              <w:jc w:val="center"/>
              <w:rPr>
                <w:sz w:val="18"/>
                <w:szCs w:val="18"/>
              </w:rPr>
            </w:pPr>
            <w:r>
              <w:rPr>
                <w:rFonts w:ascii="宋体" w:hAnsi="宋体" w:eastAsia="宋体" w:cs="宋体"/>
                <w:b w:val="0"/>
                <w:i w:val="0"/>
                <w:color w:val="000000"/>
                <w:sz w:val="18"/>
                <w:szCs w:val="18"/>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2733"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continue"/>
            <w:vAlign w:val="center"/>
          </w:tcPr>
          <w:p>
            <w:pPr>
              <w:rPr>
                <w:sz w:val="18"/>
                <w:szCs w:val="18"/>
              </w:rPr>
            </w:pPr>
          </w:p>
        </w:tc>
        <w:tc>
          <w:tcPr>
            <w:tcW w:w="273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Merge w:val="continue"/>
            <w:vAlign w:val="center"/>
          </w:tcPr>
          <w:p>
            <w:pPr>
              <w:rPr>
                <w:sz w:val="18"/>
                <w:szCs w:val="18"/>
              </w:rPr>
            </w:pPr>
          </w:p>
        </w:tc>
        <w:tc>
          <w:tcPr>
            <w:tcW w:w="2733"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900" w:type="dxa"/>
            <w:vMerge w:val="continue"/>
            <w:vAlign w:val="center"/>
          </w:tcPr>
          <w:p>
            <w:pPr>
              <w:rPr>
                <w:sz w:val="18"/>
                <w:szCs w:val="18"/>
              </w:rPr>
            </w:pPr>
          </w:p>
        </w:tc>
        <w:tc>
          <w:tcPr>
            <w:tcW w:w="84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90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846"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173.74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112.65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61.09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142.43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99.34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5"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20103</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政府办公厅（室）及相关机构事务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2010301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56.80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20129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群众团体事务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2012901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2012902</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37"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22960</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彩票公益金安排的支出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95" w:hRule="exact"/>
          <w:jc w:val="center"/>
        </w:trPr>
        <w:tc>
          <w:tcPr>
            <w:tcW w:w="947" w:type="dxa"/>
            <w:vAlign w:val="center"/>
          </w:tcPr>
          <w:p>
            <w:pPr>
              <w:snapToGrid w:val="0"/>
              <w:jc w:val="left"/>
              <w:rPr>
                <w:sz w:val="18"/>
                <w:szCs w:val="18"/>
              </w:rPr>
            </w:pPr>
            <w:r>
              <w:rPr>
                <w:rFonts w:ascii="宋体" w:hAnsi="宋体" w:eastAsia="宋体" w:cs="宋体"/>
                <w:b w:val="0"/>
                <w:i w:val="0"/>
                <w:color w:val="000000"/>
                <w:sz w:val="18"/>
                <w:szCs w:val="18"/>
              </w:rPr>
              <w:t>2296099</w:t>
            </w:r>
          </w:p>
        </w:tc>
        <w:tc>
          <w:tcPr>
            <w:tcW w:w="2733" w:type="dxa"/>
            <w:vAlign w:val="center"/>
          </w:tcPr>
          <w:p>
            <w:pPr>
              <w:snapToGrid w:val="0"/>
              <w:jc w:val="left"/>
              <w:rPr>
                <w:sz w:val="18"/>
                <w:szCs w:val="18"/>
              </w:rPr>
            </w:pPr>
            <w:r>
              <w:rPr>
                <w:rFonts w:ascii="宋体" w:hAnsi="宋体" w:eastAsia="宋体" w:cs="宋体"/>
                <w:b w:val="0"/>
                <w:i w:val="0"/>
                <w:color w:val="000000"/>
                <w:sz w:val="18"/>
                <w:szCs w:val="18"/>
              </w:rPr>
              <w:t>用于其他社会公益事业的彩票公益金支出</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9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4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914"/>
        <w:gridCol w:w="517"/>
        <w:gridCol w:w="1009"/>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sz w:val="18"/>
                <w:szCs w:val="18"/>
              </w:rPr>
            </w:pPr>
            <w:r>
              <w:rPr>
                <w:rFonts w:ascii="宋体" w:hAnsi="宋体" w:eastAsia="宋体" w:cs="宋体"/>
                <w:b w:val="0"/>
                <w:i w:val="0"/>
                <w:color w:val="000000"/>
                <w:sz w:val="18"/>
                <w:szCs w:val="18"/>
              </w:rPr>
              <w:t>收     入</w:t>
            </w:r>
          </w:p>
        </w:tc>
        <w:tc>
          <w:tcPr>
            <w:tcW w:w="8384" w:type="dxa"/>
            <w:gridSpan w:val="6"/>
            <w:vAlign w:val="center"/>
          </w:tcPr>
          <w:p>
            <w:pPr>
              <w:snapToGrid w:val="0"/>
              <w:jc w:val="center"/>
              <w:rPr>
                <w:sz w:val="18"/>
                <w:szCs w:val="18"/>
              </w:rPr>
            </w:pPr>
            <w:r>
              <w:rPr>
                <w:rFonts w:ascii="宋体" w:hAnsi="宋体" w:eastAsia="宋体" w:cs="宋体"/>
                <w:b w:val="0"/>
                <w:i w:val="0"/>
                <w:color w:val="000000"/>
                <w:sz w:val="18"/>
                <w:szCs w:val="18"/>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460"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金额</w:t>
            </w:r>
          </w:p>
        </w:tc>
        <w:tc>
          <w:tcPr>
            <w:tcW w:w="2914" w:type="dxa"/>
            <w:vMerge w:val="restart"/>
            <w:vAlign w:val="center"/>
          </w:tcPr>
          <w:p>
            <w:pPr>
              <w:snapToGrid w:val="0"/>
              <w:jc w:val="center"/>
              <w:rPr>
                <w:sz w:val="18"/>
                <w:szCs w:val="18"/>
              </w:rPr>
            </w:pPr>
            <w:r>
              <w:rPr>
                <w:rFonts w:ascii="宋体" w:hAnsi="宋体" w:eastAsia="宋体" w:cs="宋体"/>
                <w:b w:val="0"/>
                <w:i w:val="0"/>
                <w:color w:val="000000"/>
                <w:sz w:val="18"/>
                <w:szCs w:val="18"/>
              </w:rPr>
              <w:t>项目</w:t>
            </w:r>
          </w:p>
        </w:tc>
        <w:tc>
          <w:tcPr>
            <w:tcW w:w="517" w:type="dxa"/>
            <w:vMerge w:val="restart"/>
            <w:vAlign w:val="center"/>
          </w:tcPr>
          <w:p>
            <w:pPr>
              <w:snapToGrid w:val="0"/>
              <w:jc w:val="center"/>
              <w:rPr>
                <w:sz w:val="18"/>
                <w:szCs w:val="18"/>
              </w:rPr>
            </w:pPr>
            <w:r>
              <w:rPr>
                <w:rFonts w:ascii="宋体" w:hAnsi="宋体" w:eastAsia="宋体" w:cs="宋体"/>
                <w:b w:val="0"/>
                <w:i w:val="0"/>
                <w:color w:val="000000"/>
                <w:sz w:val="18"/>
                <w:szCs w:val="18"/>
              </w:rPr>
              <w:t>行次</w:t>
            </w:r>
          </w:p>
        </w:tc>
        <w:tc>
          <w:tcPr>
            <w:tcW w:w="1009"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一般公共预算财政拨款</w:t>
            </w:r>
          </w:p>
        </w:tc>
        <w:tc>
          <w:tcPr>
            <w:tcW w:w="1300" w:type="dxa"/>
            <w:vMerge w:val="restart"/>
            <w:vAlign w:val="center"/>
          </w:tcPr>
          <w:p>
            <w:pPr>
              <w:snapToGrid w:val="0"/>
              <w:jc w:val="center"/>
              <w:rPr>
                <w:sz w:val="18"/>
                <w:szCs w:val="18"/>
              </w:rPr>
            </w:pPr>
            <w:r>
              <w:rPr>
                <w:rFonts w:ascii="宋体" w:hAnsi="宋体" w:eastAsia="宋体" w:cs="宋体"/>
                <w:b w:val="0"/>
                <w:i w:val="0"/>
                <w:color w:val="000000"/>
                <w:sz w:val="18"/>
                <w:szCs w:val="18"/>
              </w:rPr>
              <w:t>政府性基金预算财政拨款</w:t>
            </w:r>
          </w:p>
        </w:tc>
        <w:tc>
          <w:tcPr>
            <w:tcW w:w="1344" w:type="dxa"/>
            <w:vMerge w:val="restart"/>
            <w:vAlign w:val="center"/>
          </w:tcPr>
          <w:p>
            <w:pPr>
              <w:snapToGrid w:val="0"/>
              <w:jc w:val="center"/>
              <w:rPr>
                <w:sz w:val="18"/>
                <w:szCs w:val="18"/>
              </w:rPr>
            </w:pPr>
            <w:r>
              <w:rPr>
                <w:rFonts w:ascii="宋体" w:hAnsi="宋体" w:eastAsia="宋体" w:cs="宋体"/>
                <w:b w:val="0"/>
                <w:i w:val="0"/>
                <w:color w:val="000000"/>
                <w:sz w:val="18"/>
                <w:szCs w:val="18"/>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sz w:val="18"/>
                <w:szCs w:val="18"/>
              </w:rPr>
            </w:pPr>
          </w:p>
        </w:tc>
        <w:tc>
          <w:tcPr>
            <w:tcW w:w="460" w:type="dxa"/>
            <w:vMerge w:val="continue"/>
            <w:vAlign w:val="center"/>
          </w:tcPr>
          <w:p>
            <w:pPr>
              <w:rPr>
                <w:sz w:val="18"/>
                <w:szCs w:val="18"/>
              </w:rPr>
            </w:pPr>
          </w:p>
        </w:tc>
        <w:tc>
          <w:tcPr>
            <w:tcW w:w="1300" w:type="dxa"/>
            <w:vMerge w:val="continue"/>
            <w:vAlign w:val="center"/>
          </w:tcPr>
          <w:p>
            <w:pPr>
              <w:rPr>
                <w:sz w:val="18"/>
                <w:szCs w:val="18"/>
              </w:rPr>
            </w:pPr>
          </w:p>
        </w:tc>
        <w:tc>
          <w:tcPr>
            <w:tcW w:w="2914" w:type="dxa"/>
            <w:vMerge w:val="continue"/>
            <w:vAlign w:val="center"/>
          </w:tcPr>
          <w:p>
            <w:pPr>
              <w:rPr>
                <w:sz w:val="18"/>
                <w:szCs w:val="18"/>
              </w:rPr>
            </w:pPr>
          </w:p>
        </w:tc>
        <w:tc>
          <w:tcPr>
            <w:tcW w:w="517" w:type="dxa"/>
            <w:vMerge w:val="continue"/>
            <w:vAlign w:val="center"/>
          </w:tcPr>
          <w:p>
            <w:pPr>
              <w:rPr>
                <w:sz w:val="18"/>
                <w:szCs w:val="18"/>
              </w:rPr>
            </w:pPr>
          </w:p>
        </w:tc>
        <w:tc>
          <w:tcPr>
            <w:tcW w:w="1009" w:type="dxa"/>
            <w:vMerge w:val="continue"/>
            <w:vAlign w:val="center"/>
          </w:tcPr>
          <w:p>
            <w:pPr>
              <w:rPr>
                <w:sz w:val="18"/>
                <w:szCs w:val="18"/>
              </w:rPr>
            </w:pPr>
          </w:p>
        </w:tc>
        <w:tc>
          <w:tcPr>
            <w:tcW w:w="1300" w:type="dxa"/>
            <w:vMerge w:val="continue"/>
            <w:vAlign w:val="center"/>
          </w:tcPr>
          <w:p>
            <w:pPr>
              <w:rPr>
                <w:sz w:val="18"/>
                <w:szCs w:val="18"/>
              </w:rPr>
            </w:pPr>
          </w:p>
        </w:tc>
        <w:tc>
          <w:tcPr>
            <w:tcW w:w="1300" w:type="dxa"/>
            <w:vMerge w:val="continue"/>
            <w:vAlign w:val="center"/>
          </w:tcPr>
          <w:p>
            <w:pPr>
              <w:rPr>
                <w:sz w:val="18"/>
                <w:szCs w:val="18"/>
              </w:rPr>
            </w:pPr>
          </w:p>
        </w:tc>
        <w:tc>
          <w:tcPr>
            <w:tcW w:w="134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460" w:type="dxa"/>
            <w:vAlign w:val="center"/>
          </w:tcPr>
          <w:p>
            <w:pPr>
              <w:rPr>
                <w:sz w:val="18"/>
                <w:szCs w:val="18"/>
              </w:rPr>
            </w:pP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914" w:type="dxa"/>
            <w:vAlign w:val="center"/>
          </w:tcPr>
          <w:p>
            <w:pPr>
              <w:snapToGrid w:val="0"/>
              <w:jc w:val="center"/>
              <w:rPr>
                <w:sz w:val="18"/>
                <w:szCs w:val="18"/>
              </w:rPr>
            </w:pPr>
            <w:r>
              <w:rPr>
                <w:rFonts w:ascii="宋体" w:hAnsi="宋体" w:eastAsia="宋体" w:cs="宋体"/>
                <w:b w:val="0"/>
                <w:i w:val="0"/>
                <w:color w:val="000000"/>
                <w:sz w:val="18"/>
                <w:szCs w:val="18"/>
              </w:rPr>
              <w:t>栏次</w:t>
            </w:r>
          </w:p>
        </w:tc>
        <w:tc>
          <w:tcPr>
            <w:tcW w:w="517" w:type="dxa"/>
            <w:vAlign w:val="center"/>
          </w:tcPr>
          <w:p>
            <w:pPr>
              <w:rPr>
                <w:sz w:val="18"/>
                <w:szCs w:val="18"/>
              </w:rPr>
            </w:pPr>
          </w:p>
        </w:tc>
        <w:tc>
          <w:tcPr>
            <w:tcW w:w="1009"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44" w:type="dxa"/>
            <w:vAlign w:val="center"/>
          </w:tcPr>
          <w:p>
            <w:pPr>
              <w:snapToGrid w:val="0"/>
              <w:jc w:val="center"/>
              <w:rPr>
                <w:sz w:val="18"/>
                <w:szCs w:val="18"/>
              </w:rPr>
            </w:pPr>
            <w:r>
              <w:rPr>
                <w:rFonts w:ascii="宋体" w:hAnsi="宋体" w:eastAsia="宋体" w:cs="宋体"/>
                <w:b w:val="0"/>
                <w:i w:val="0"/>
                <w:color w:val="000000"/>
                <w:sz w:val="18"/>
                <w:szCs w:val="18"/>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一、一般公共预算财政拨款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98.94</w:t>
            </w:r>
          </w:p>
        </w:tc>
        <w:tc>
          <w:tcPr>
            <w:tcW w:w="2914" w:type="dxa"/>
            <w:vAlign w:val="center"/>
          </w:tcPr>
          <w:p>
            <w:pPr>
              <w:snapToGrid w:val="0"/>
              <w:jc w:val="left"/>
              <w:rPr>
                <w:sz w:val="18"/>
                <w:szCs w:val="18"/>
              </w:rPr>
            </w:pPr>
            <w:r>
              <w:rPr>
                <w:rFonts w:ascii="宋体" w:hAnsi="宋体" w:eastAsia="宋体" w:cs="宋体"/>
                <w:b w:val="0"/>
                <w:i w:val="0"/>
                <w:color w:val="000000"/>
                <w:sz w:val="18"/>
                <w:szCs w:val="18"/>
              </w:rPr>
              <w:t>一、一般公共服务支出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33</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二、政府性基金预算财政拨款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二、外交支出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34</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三、国有资本经营预算财政拨款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snapToGrid w:val="0"/>
              <w:jc w:val="left"/>
              <w:rPr>
                <w:sz w:val="18"/>
                <w:szCs w:val="18"/>
              </w:rPr>
            </w:pPr>
            <w:r>
              <w:rPr>
                <w:rFonts w:ascii="宋体" w:hAnsi="宋体" w:eastAsia="宋体" w:cs="宋体"/>
                <w:b w:val="0"/>
                <w:i w:val="0"/>
                <w:color w:val="000000"/>
                <w:sz w:val="18"/>
                <w:szCs w:val="18"/>
              </w:rPr>
              <w:t>三、国防支出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35</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四、公共安全支出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36</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五、教育支出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37</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六、科学技术支出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38</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七、文化旅游体育与传媒支出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39</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八、社会保障和就业支出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40</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九、卫生健康支出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41</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十、节能环保支出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42</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十一、城乡社区支出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43</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12</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十二、农林水支出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44</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13</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十三、交通运输支出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45</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14</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十四、资源勘探工业信息等支出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46</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15</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十五、商业服务业等支出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47</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16</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十六、金融支出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48</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17</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十七、援助其他地区支出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49</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18</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十八、自然资源海洋气象等支出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50</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19</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十九、住房保障支出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51</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20</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二十、粮油物资储备支出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52</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21</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二十一、国有资本经营预算支出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53</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22</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二十二、灾害防治及应急管理支出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54</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23</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二十三、其他支出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55</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24</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二十四、债务还本支出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56</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25</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二十五、债务付息支出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57</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sz w:val="18"/>
                <w:szCs w:val="18"/>
              </w:rPr>
            </w:pP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26</w:t>
            </w:r>
          </w:p>
        </w:tc>
        <w:tc>
          <w:tcPr>
            <w:tcW w:w="1300" w:type="dxa"/>
            <w:vAlign w:val="center"/>
          </w:tcPr>
          <w:p>
            <w:pPr>
              <w:rPr>
                <w:sz w:val="18"/>
                <w:szCs w:val="18"/>
              </w:rPr>
            </w:pPr>
          </w:p>
        </w:tc>
        <w:tc>
          <w:tcPr>
            <w:tcW w:w="2914" w:type="dxa"/>
            <w:vAlign w:val="center"/>
          </w:tcPr>
          <w:p>
            <w:pPr>
              <w:snapToGrid w:val="0"/>
              <w:jc w:val="left"/>
              <w:rPr>
                <w:sz w:val="18"/>
                <w:szCs w:val="18"/>
              </w:rPr>
            </w:pPr>
            <w:r>
              <w:rPr>
                <w:rFonts w:ascii="宋体" w:hAnsi="宋体" w:eastAsia="宋体" w:cs="宋体"/>
                <w:b w:val="0"/>
                <w:i w:val="0"/>
                <w:color w:val="000000"/>
                <w:sz w:val="18"/>
                <w:szCs w:val="18"/>
              </w:rPr>
              <w:t>二十六、抗疫特别国债安排的支出</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58</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本年收入合计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27</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116.94</w:t>
            </w:r>
          </w:p>
        </w:tc>
        <w:tc>
          <w:tcPr>
            <w:tcW w:w="2914" w:type="dxa"/>
            <w:vAlign w:val="center"/>
          </w:tcPr>
          <w:p>
            <w:pPr>
              <w:snapToGrid w:val="0"/>
              <w:jc w:val="center"/>
              <w:rPr>
                <w:sz w:val="18"/>
                <w:szCs w:val="18"/>
              </w:rPr>
            </w:pPr>
            <w:r>
              <w:rPr>
                <w:rFonts w:ascii="宋体" w:hAnsi="宋体" w:eastAsia="宋体" w:cs="宋体"/>
                <w:b/>
                <w:i w:val="0"/>
                <w:color w:val="000000"/>
                <w:sz w:val="18"/>
                <w:szCs w:val="18"/>
              </w:rPr>
              <w:t>本年支出合计</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59</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116.94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98.94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年初财政拨款结转和结余</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28</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snapToGrid w:val="0"/>
              <w:jc w:val="left"/>
              <w:rPr>
                <w:sz w:val="18"/>
                <w:szCs w:val="18"/>
              </w:rPr>
            </w:pPr>
            <w:r>
              <w:rPr>
                <w:rFonts w:ascii="宋体" w:hAnsi="宋体" w:eastAsia="宋体" w:cs="宋体"/>
                <w:b w:val="0"/>
                <w:i w:val="0"/>
                <w:color w:val="000000"/>
                <w:sz w:val="18"/>
                <w:szCs w:val="18"/>
              </w:rPr>
              <w:t>年末财政拨款结转和结余</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60</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一般公共预算财政拨款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29</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61</w:t>
            </w:r>
          </w:p>
        </w:tc>
        <w:tc>
          <w:tcPr>
            <w:tcW w:w="1009"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政府性基金预算财政拨款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30</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62</w:t>
            </w:r>
          </w:p>
        </w:tc>
        <w:tc>
          <w:tcPr>
            <w:tcW w:w="1009"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sz w:val="18"/>
                <w:szCs w:val="18"/>
              </w:rPr>
            </w:pPr>
            <w:r>
              <w:rPr>
                <w:rFonts w:ascii="宋体" w:hAnsi="宋体" w:eastAsia="宋体" w:cs="宋体"/>
                <w:b w:val="0"/>
                <w:i w:val="0"/>
                <w:color w:val="000000"/>
                <w:sz w:val="18"/>
                <w:szCs w:val="18"/>
              </w:rPr>
              <w:t xml:space="preserve">  国有资本经营预算财政拨款</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31</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914" w:type="dxa"/>
            <w:vAlign w:val="center"/>
          </w:tcPr>
          <w:p>
            <w:pPr>
              <w:rPr>
                <w:sz w:val="18"/>
                <w:szCs w:val="18"/>
              </w:rPr>
            </w:pP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63</w:t>
            </w:r>
          </w:p>
        </w:tc>
        <w:tc>
          <w:tcPr>
            <w:tcW w:w="1009" w:type="dxa"/>
            <w:vAlign w:val="center"/>
          </w:tcPr>
          <w:p>
            <w:pPr>
              <w:rPr>
                <w:sz w:val="18"/>
                <w:szCs w:val="18"/>
              </w:rPr>
            </w:pPr>
          </w:p>
        </w:tc>
        <w:tc>
          <w:tcPr>
            <w:tcW w:w="1300" w:type="dxa"/>
            <w:vAlign w:val="center"/>
          </w:tcPr>
          <w:p>
            <w:pPr>
              <w:rPr>
                <w:sz w:val="18"/>
                <w:szCs w:val="18"/>
              </w:rPr>
            </w:pPr>
          </w:p>
        </w:tc>
        <w:tc>
          <w:tcPr>
            <w:tcW w:w="1300" w:type="dxa"/>
            <w:vAlign w:val="center"/>
          </w:tcPr>
          <w:p>
            <w:pPr>
              <w:rPr>
                <w:sz w:val="18"/>
                <w:szCs w:val="18"/>
              </w:rPr>
            </w:pPr>
          </w:p>
        </w:tc>
        <w:tc>
          <w:tcPr>
            <w:tcW w:w="134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460" w:type="dxa"/>
            <w:vAlign w:val="center"/>
          </w:tcPr>
          <w:p>
            <w:pPr>
              <w:snapToGrid w:val="0"/>
              <w:jc w:val="center"/>
              <w:rPr>
                <w:sz w:val="18"/>
                <w:szCs w:val="18"/>
              </w:rPr>
            </w:pPr>
            <w:r>
              <w:rPr>
                <w:rFonts w:ascii="宋体" w:hAnsi="宋体" w:eastAsia="宋体" w:cs="宋体"/>
                <w:b w:val="0"/>
                <w:i w:val="0"/>
                <w:color w:val="000000"/>
                <w:sz w:val="18"/>
                <w:szCs w:val="18"/>
              </w:rPr>
              <w:t>32</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116.94</w:t>
            </w:r>
          </w:p>
        </w:tc>
        <w:tc>
          <w:tcPr>
            <w:tcW w:w="2914" w:type="dxa"/>
            <w:vAlign w:val="center"/>
          </w:tcPr>
          <w:p>
            <w:pPr>
              <w:snapToGrid w:val="0"/>
              <w:jc w:val="center"/>
              <w:rPr>
                <w:sz w:val="18"/>
                <w:szCs w:val="18"/>
              </w:rPr>
            </w:pPr>
            <w:r>
              <w:rPr>
                <w:rFonts w:ascii="宋体" w:hAnsi="宋体" w:eastAsia="宋体" w:cs="宋体"/>
                <w:b/>
                <w:i w:val="0"/>
                <w:color w:val="000000"/>
                <w:sz w:val="18"/>
                <w:szCs w:val="18"/>
              </w:rPr>
              <w:t>总计</w:t>
            </w:r>
          </w:p>
        </w:tc>
        <w:tc>
          <w:tcPr>
            <w:tcW w:w="517" w:type="dxa"/>
            <w:vAlign w:val="center"/>
          </w:tcPr>
          <w:p>
            <w:pPr>
              <w:snapToGrid w:val="0"/>
              <w:jc w:val="center"/>
              <w:rPr>
                <w:sz w:val="18"/>
                <w:szCs w:val="18"/>
              </w:rPr>
            </w:pPr>
            <w:r>
              <w:rPr>
                <w:rFonts w:ascii="宋体" w:hAnsi="宋体" w:eastAsia="宋体" w:cs="宋体"/>
                <w:b w:val="0"/>
                <w:i w:val="0"/>
                <w:color w:val="000000"/>
                <w:sz w:val="18"/>
                <w:szCs w:val="18"/>
              </w:rPr>
              <w:t>64</w:t>
            </w:r>
          </w:p>
        </w:tc>
        <w:tc>
          <w:tcPr>
            <w:tcW w:w="1009" w:type="dxa"/>
            <w:vAlign w:val="center"/>
          </w:tcPr>
          <w:p>
            <w:pPr>
              <w:snapToGrid w:val="0"/>
              <w:jc w:val="right"/>
              <w:rPr>
                <w:sz w:val="18"/>
                <w:szCs w:val="18"/>
              </w:rPr>
            </w:pPr>
            <w:r>
              <w:rPr>
                <w:rFonts w:ascii="宋体" w:hAnsi="宋体" w:eastAsia="宋体" w:cs="宋体"/>
                <w:b w:val="0"/>
                <w:i w:val="0"/>
                <w:color w:val="000000"/>
                <w:sz w:val="18"/>
                <w:szCs w:val="18"/>
              </w:rPr>
              <w:t>116.94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98.94</w:t>
            </w:r>
          </w:p>
        </w:tc>
        <w:tc>
          <w:tcPr>
            <w:tcW w:w="1300" w:type="dxa"/>
            <w:vAlign w:val="center"/>
          </w:tcPr>
          <w:p>
            <w:pPr>
              <w:snapToGrid w:val="0"/>
              <w:jc w:val="right"/>
              <w:rPr>
                <w:sz w:val="18"/>
                <w:szCs w:val="18"/>
              </w:rPr>
            </w:pPr>
            <w:r>
              <w:rPr>
                <w:rFonts w:ascii="宋体" w:hAnsi="宋体" w:eastAsia="宋体" w:cs="宋体"/>
                <w:b w:val="0"/>
                <w:i w:val="0"/>
                <w:color w:val="000000"/>
                <w:sz w:val="18"/>
                <w:szCs w:val="18"/>
              </w:rPr>
              <w:t>18.00</w:t>
            </w:r>
          </w:p>
        </w:tc>
        <w:tc>
          <w:tcPr>
            <w:tcW w:w="134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18"/>
                <w:szCs w:val="18"/>
              </w:rPr>
            </w:pPr>
            <w:r>
              <w:rPr>
                <w:rFonts w:ascii="宋体" w:hAnsi="宋体" w:eastAsia="宋体" w:cs="宋体"/>
                <w:sz w:val="18"/>
                <w:szCs w:val="18"/>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3513"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4306"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376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44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426"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18"/>
                <w:szCs w:val="18"/>
              </w:rPr>
            </w:pPr>
          </w:p>
        </w:tc>
        <w:tc>
          <w:tcPr>
            <w:tcW w:w="3760" w:type="dxa"/>
            <w:vMerge w:val="continue"/>
            <w:vAlign w:val="center"/>
          </w:tcPr>
          <w:p>
            <w:pPr>
              <w:rPr>
                <w:sz w:val="18"/>
                <w:szCs w:val="18"/>
              </w:rPr>
            </w:pPr>
          </w:p>
        </w:tc>
        <w:tc>
          <w:tcPr>
            <w:tcW w:w="1440" w:type="dxa"/>
            <w:vMerge w:val="continue"/>
            <w:vAlign w:val="center"/>
          </w:tcPr>
          <w:p>
            <w:pPr>
              <w:rPr>
                <w:sz w:val="18"/>
                <w:szCs w:val="18"/>
              </w:rPr>
            </w:pPr>
          </w:p>
        </w:tc>
        <w:tc>
          <w:tcPr>
            <w:tcW w:w="1440" w:type="dxa"/>
            <w:vMerge w:val="continue"/>
            <w:vAlign w:val="center"/>
          </w:tcPr>
          <w:p>
            <w:pPr>
              <w:rPr>
                <w:sz w:val="18"/>
                <w:szCs w:val="18"/>
              </w:rPr>
            </w:pPr>
          </w:p>
        </w:tc>
        <w:tc>
          <w:tcPr>
            <w:tcW w:w="1426"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44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426"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98.94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55.85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一般公共服务支出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20129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群众团体事务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85.63</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2012901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行政运行</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42.54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2012902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一般行政管理事务</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43.09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43.09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行政事业单位养老支出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2080505</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机关事业单位基本养老保险缴费支出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2089999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其他社会保障和就业支出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0.07</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卫生健康支出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行政事业单位医疗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4.24</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行政单位医疗</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2101199</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其他行政事业单位医疗支出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2.25</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住房保障支出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住房改革支出</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18"/>
                <w:szCs w:val="18"/>
              </w:rPr>
            </w:pPr>
            <w:r>
              <w:rPr>
                <w:rFonts w:ascii="宋体" w:hAnsi="宋体" w:eastAsia="宋体" w:cs="宋体"/>
                <w:b w:val="0"/>
                <w:i w:val="0"/>
                <w:color w:val="000000"/>
                <w:sz w:val="18"/>
                <w:szCs w:val="18"/>
              </w:rPr>
              <w:t>2210201</w:t>
            </w:r>
          </w:p>
        </w:tc>
        <w:tc>
          <w:tcPr>
            <w:tcW w:w="3760" w:type="dxa"/>
            <w:vAlign w:val="center"/>
          </w:tcPr>
          <w:p>
            <w:pPr>
              <w:snapToGrid w:val="0"/>
              <w:jc w:val="left"/>
              <w:rPr>
                <w:sz w:val="18"/>
                <w:szCs w:val="18"/>
              </w:rPr>
            </w:pPr>
            <w:r>
              <w:rPr>
                <w:rFonts w:ascii="宋体" w:hAnsi="宋体" w:eastAsia="宋体" w:cs="宋体"/>
                <w:b w:val="0"/>
                <w:i w:val="0"/>
                <w:color w:val="000000"/>
                <w:sz w:val="18"/>
                <w:szCs w:val="18"/>
              </w:rPr>
              <w:t>住房公积金</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4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1426"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18"/>
                <w:szCs w:val="18"/>
              </w:rPr>
            </w:pPr>
            <w:r>
              <w:rPr>
                <w:rFonts w:ascii="宋体" w:hAnsi="宋体" w:eastAsia="宋体" w:cs="宋体"/>
                <w:sz w:val="18"/>
                <w:szCs w:val="18"/>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412"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人员经费</w:t>
            </w:r>
          </w:p>
        </w:tc>
        <w:tc>
          <w:tcPr>
            <w:tcW w:w="8684" w:type="dxa"/>
            <w:gridSpan w:val="6"/>
            <w:vAlign w:val="center"/>
          </w:tcPr>
          <w:p>
            <w:pPr>
              <w:snapToGrid w:val="0"/>
              <w:jc w:val="center"/>
              <w:rPr>
                <w:sz w:val="18"/>
                <w:szCs w:val="18"/>
              </w:rPr>
            </w:pPr>
            <w:r>
              <w:rPr>
                <w:rFonts w:ascii="宋体" w:hAnsi="宋体" w:eastAsia="宋体" w:cs="宋体"/>
                <w:b w:val="0"/>
                <w:i w:val="0"/>
                <w:color w:val="000000"/>
                <w:sz w:val="18"/>
                <w:szCs w:val="18"/>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0"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c>
          <w:tcPr>
            <w:tcW w:w="800" w:type="dxa"/>
            <w:vMerge w:val="restart"/>
            <w:vAlign w:val="center"/>
          </w:tcPr>
          <w:p>
            <w:pPr>
              <w:snapToGrid w:val="0"/>
              <w:jc w:val="center"/>
              <w:rPr>
                <w:sz w:val="18"/>
                <w:szCs w:val="18"/>
              </w:rPr>
            </w:pPr>
            <w:r>
              <w:rPr>
                <w:rFonts w:ascii="宋体" w:hAnsi="宋体" w:eastAsia="宋体" w:cs="宋体"/>
                <w:b w:val="0"/>
                <w:i w:val="0"/>
                <w:color w:val="000000"/>
                <w:sz w:val="18"/>
                <w:szCs w:val="18"/>
              </w:rPr>
              <w:t>经济分类科目编码</w:t>
            </w:r>
          </w:p>
        </w:tc>
        <w:tc>
          <w:tcPr>
            <w:tcW w:w="27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964" w:type="dxa"/>
            <w:vMerge w:val="restart"/>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380" w:type="dxa"/>
            <w:vMerge w:val="continue"/>
            <w:vAlign w:val="center"/>
          </w:tcPr>
          <w:p>
            <w:pPr>
              <w:rPr>
                <w:sz w:val="18"/>
                <w:szCs w:val="18"/>
              </w:rPr>
            </w:pPr>
          </w:p>
        </w:tc>
        <w:tc>
          <w:tcPr>
            <w:tcW w:w="960" w:type="dxa"/>
            <w:vMerge w:val="continue"/>
            <w:vAlign w:val="center"/>
          </w:tcPr>
          <w:p>
            <w:pPr>
              <w:rPr>
                <w:sz w:val="18"/>
                <w:szCs w:val="18"/>
              </w:rPr>
            </w:pPr>
          </w:p>
        </w:tc>
        <w:tc>
          <w:tcPr>
            <w:tcW w:w="800" w:type="dxa"/>
            <w:vMerge w:val="continue"/>
            <w:vAlign w:val="center"/>
          </w:tcPr>
          <w:p>
            <w:pPr>
              <w:rPr>
                <w:sz w:val="18"/>
                <w:szCs w:val="18"/>
              </w:rPr>
            </w:pPr>
          </w:p>
        </w:tc>
        <w:tc>
          <w:tcPr>
            <w:tcW w:w="2780" w:type="dxa"/>
            <w:vMerge w:val="continue"/>
            <w:vAlign w:val="center"/>
          </w:tcPr>
          <w:p>
            <w:pPr>
              <w:rPr>
                <w:sz w:val="18"/>
                <w:szCs w:val="18"/>
              </w:rPr>
            </w:pPr>
          </w:p>
        </w:tc>
        <w:tc>
          <w:tcPr>
            <w:tcW w:w="964"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46.41</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9.44</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债务利息及费用支出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基本工资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24.09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办公费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5.20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国内债务付息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津贴补贴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4.29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印刷费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0.45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30702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国外债务付息</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4.72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咨询费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伙食补助费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手续费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房屋建筑物购建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绩效工资</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办公设备购置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15"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机关事业单位基本养老保险缴费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5.70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专用设备购置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职业年金缴费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邮电费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31005</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基础设施建设</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职工基本医疗保险缴费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1.99</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取暖费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31006</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大型修缮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公务员医疗补助缴费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物业管理费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信息网络及软件购置更新</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其他社会保障缴费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2.32</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差旅费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0.35</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物资储备</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住房公积金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3.30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因公出国（境）费用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土地补偿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维修（护）费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安置补助</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30199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其他工资福利支出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租赁费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地上附着物和青苗补偿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会议费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拆迁补偿</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离休费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培训费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31013</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30302</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退休费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公务接待费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31019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其他交通工具购置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30303</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退职（役）费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30218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专用材料费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31021</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文物和陈列品购置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抚恤金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30224</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被装购置费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31022</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无形资产购置</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生活补助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30225</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专用燃料费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31099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其他资本性支出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救济费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30226</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劳务费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医疗费补助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30227</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委托业务费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39907</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国家赔偿费用支出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4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助学金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30228</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工会经费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39908</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对民间非营利组织和群众性自治组织补贴</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30309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奖励金</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30229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福利费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0.38</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39909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经常性赠与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个人农业生产补贴</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公务用车运行维护费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39910</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资本性赠与</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30311</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代缴社会保险费</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30239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其他交通费用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3.06</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39999</w:t>
            </w:r>
          </w:p>
        </w:tc>
        <w:tc>
          <w:tcPr>
            <w:tcW w:w="2780" w:type="dxa"/>
            <w:vAlign w:val="center"/>
          </w:tcPr>
          <w:p>
            <w:pPr>
              <w:snapToGrid w:val="0"/>
              <w:jc w:val="left"/>
              <w:rPr>
                <w:sz w:val="18"/>
                <w:szCs w:val="18"/>
              </w:rPr>
            </w:pPr>
            <w:r>
              <w:rPr>
                <w:rFonts w:ascii="宋体" w:hAnsi="宋体" w:eastAsia="宋体" w:cs="宋体"/>
                <w:b w:val="0"/>
                <w:i w:val="0"/>
                <w:color w:val="000000"/>
                <w:sz w:val="18"/>
                <w:szCs w:val="18"/>
              </w:rPr>
              <w:t xml:space="preserve">  其他支出</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18"/>
                <w:szCs w:val="18"/>
              </w:rPr>
            </w:pPr>
            <w:r>
              <w:rPr>
                <w:rFonts w:ascii="宋体" w:hAnsi="宋体" w:eastAsia="宋体" w:cs="宋体"/>
                <w:b w:val="0"/>
                <w:i w:val="0"/>
                <w:color w:val="000000"/>
                <w:sz w:val="18"/>
                <w:szCs w:val="18"/>
              </w:rPr>
              <w:t>30399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其他对个人和家庭的补助</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30240</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税金及附加费用</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18"/>
                <w:szCs w:val="18"/>
              </w:rPr>
            </w:pPr>
          </w:p>
        </w:tc>
        <w:tc>
          <w:tcPr>
            <w:tcW w:w="2380" w:type="dxa"/>
            <w:vAlign w:val="center"/>
          </w:tcPr>
          <w:p>
            <w:pPr>
              <w:rPr>
                <w:sz w:val="18"/>
                <w:szCs w:val="18"/>
              </w:rPr>
            </w:pPr>
          </w:p>
        </w:tc>
        <w:tc>
          <w:tcPr>
            <w:tcW w:w="960" w:type="dxa"/>
            <w:vAlign w:val="center"/>
          </w:tcPr>
          <w:p>
            <w:pPr>
              <w:rPr>
                <w:sz w:val="18"/>
                <w:szCs w:val="18"/>
              </w:rPr>
            </w:pPr>
          </w:p>
        </w:tc>
        <w:tc>
          <w:tcPr>
            <w:tcW w:w="800" w:type="dxa"/>
            <w:vAlign w:val="center"/>
          </w:tcPr>
          <w:p>
            <w:pPr>
              <w:snapToGrid w:val="0"/>
              <w:jc w:val="left"/>
              <w:rPr>
                <w:sz w:val="18"/>
                <w:szCs w:val="18"/>
              </w:rPr>
            </w:pPr>
            <w:r>
              <w:rPr>
                <w:rFonts w:ascii="宋体" w:hAnsi="宋体" w:eastAsia="宋体" w:cs="宋体"/>
                <w:b w:val="0"/>
                <w:i w:val="0"/>
                <w:color w:val="000000"/>
                <w:sz w:val="18"/>
                <w:szCs w:val="18"/>
              </w:rPr>
              <w:t>30299</w:t>
            </w:r>
          </w:p>
        </w:tc>
        <w:tc>
          <w:tcPr>
            <w:tcW w:w="2380" w:type="dxa"/>
            <w:vAlign w:val="center"/>
          </w:tcPr>
          <w:p>
            <w:pPr>
              <w:snapToGrid w:val="0"/>
              <w:jc w:val="left"/>
              <w:rPr>
                <w:sz w:val="18"/>
                <w:szCs w:val="18"/>
              </w:rPr>
            </w:pPr>
            <w:r>
              <w:rPr>
                <w:rFonts w:ascii="宋体" w:hAnsi="宋体" w:eastAsia="宋体" w:cs="宋体"/>
                <w:b w:val="0"/>
                <w:i w:val="0"/>
                <w:color w:val="000000"/>
                <w:sz w:val="18"/>
                <w:szCs w:val="18"/>
              </w:rPr>
              <w:t xml:space="preserve">  其他商品和服务支出</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800" w:type="dxa"/>
            <w:vAlign w:val="center"/>
          </w:tcPr>
          <w:p>
            <w:pPr>
              <w:rPr>
                <w:sz w:val="18"/>
                <w:szCs w:val="18"/>
              </w:rPr>
            </w:pPr>
          </w:p>
        </w:tc>
        <w:tc>
          <w:tcPr>
            <w:tcW w:w="2780" w:type="dxa"/>
            <w:vAlign w:val="center"/>
          </w:tcPr>
          <w:p>
            <w:pPr>
              <w:rPr>
                <w:sz w:val="18"/>
                <w:szCs w:val="18"/>
              </w:rPr>
            </w:pPr>
          </w:p>
        </w:tc>
        <w:tc>
          <w:tcPr>
            <w:tcW w:w="964"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18"/>
                <w:szCs w:val="18"/>
              </w:rPr>
            </w:pPr>
            <w:r>
              <w:rPr>
                <w:rFonts w:ascii="宋体" w:hAnsi="宋体" w:eastAsia="宋体" w:cs="宋体"/>
                <w:b w:val="0"/>
                <w:i w:val="0"/>
                <w:color w:val="000000"/>
                <w:sz w:val="18"/>
                <w:szCs w:val="18"/>
              </w:rPr>
              <w:t>人员经费合计</w:t>
            </w:r>
          </w:p>
        </w:tc>
        <w:tc>
          <w:tcPr>
            <w:tcW w:w="960" w:type="dxa"/>
            <w:vAlign w:val="center"/>
          </w:tcPr>
          <w:p>
            <w:pPr>
              <w:snapToGrid w:val="0"/>
              <w:jc w:val="right"/>
              <w:rPr>
                <w:sz w:val="18"/>
                <w:szCs w:val="18"/>
              </w:rPr>
            </w:pPr>
            <w:r>
              <w:rPr>
                <w:rFonts w:ascii="宋体" w:hAnsi="宋体" w:eastAsia="宋体" w:cs="宋体"/>
                <w:b w:val="0"/>
                <w:i w:val="0"/>
                <w:color w:val="000000"/>
                <w:sz w:val="18"/>
                <w:szCs w:val="18"/>
              </w:rPr>
              <w:t>46.41</w:t>
            </w:r>
          </w:p>
        </w:tc>
        <w:tc>
          <w:tcPr>
            <w:tcW w:w="7720" w:type="dxa"/>
            <w:gridSpan w:val="5"/>
            <w:vAlign w:val="center"/>
          </w:tcPr>
          <w:p>
            <w:pPr>
              <w:snapToGrid w:val="0"/>
              <w:jc w:val="center"/>
              <w:rPr>
                <w:sz w:val="18"/>
                <w:szCs w:val="18"/>
              </w:rPr>
            </w:pPr>
            <w:r>
              <w:rPr>
                <w:rFonts w:ascii="宋体" w:hAnsi="宋体" w:eastAsia="宋体" w:cs="宋体"/>
                <w:b w:val="0"/>
                <w:i w:val="0"/>
                <w:color w:val="000000"/>
                <w:sz w:val="18"/>
                <w:szCs w:val="18"/>
              </w:rPr>
              <w:t>公用经费合计</w:t>
            </w:r>
          </w:p>
        </w:tc>
        <w:tc>
          <w:tcPr>
            <w:tcW w:w="964" w:type="dxa"/>
            <w:vAlign w:val="center"/>
          </w:tcPr>
          <w:p>
            <w:pPr>
              <w:snapToGrid w:val="0"/>
              <w:jc w:val="right"/>
              <w:rPr>
                <w:sz w:val="18"/>
                <w:szCs w:val="18"/>
              </w:rPr>
            </w:pPr>
            <w:r>
              <w:rPr>
                <w:rFonts w:ascii="宋体" w:hAnsi="宋体" w:eastAsia="宋体" w:cs="宋体"/>
                <w:b w:val="0"/>
                <w:i w:val="0"/>
                <w:color w:val="000000"/>
                <w:sz w:val="18"/>
                <w:szCs w:val="18"/>
              </w:rPr>
              <w:t>9.44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年初结转和结余</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本年收入</w:t>
            </w:r>
          </w:p>
        </w:tc>
        <w:tc>
          <w:tcPr>
            <w:tcW w:w="4140"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c>
          <w:tcPr>
            <w:tcW w:w="1358" w:type="dxa"/>
            <w:vMerge w:val="restart"/>
            <w:vAlign w:val="center"/>
          </w:tcPr>
          <w:p>
            <w:pPr>
              <w:snapToGrid w:val="0"/>
              <w:jc w:val="center"/>
              <w:rPr>
                <w:sz w:val="18"/>
                <w:szCs w:val="18"/>
              </w:rPr>
            </w:pPr>
            <w:r>
              <w:rPr>
                <w:rFonts w:ascii="宋体" w:hAnsi="宋体" w:eastAsia="宋体" w:cs="宋体"/>
                <w:b w:val="0"/>
                <w:i w:val="0"/>
                <w:color w:val="000000"/>
                <w:sz w:val="18"/>
                <w:szCs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18"/>
                <w:szCs w:val="18"/>
              </w:rPr>
            </w:pPr>
            <w:r>
              <w:rPr>
                <w:rFonts w:ascii="宋体" w:hAnsi="宋体" w:eastAsia="宋体" w:cs="宋体"/>
                <w:b w:val="0"/>
                <w:i w:val="0"/>
                <w:color w:val="000000"/>
                <w:sz w:val="18"/>
                <w:szCs w:val="18"/>
              </w:rPr>
              <w:t>功能分类</w:t>
            </w:r>
          </w:p>
          <w:p>
            <w:pPr>
              <w:shd w:val="clear" w:color="auto" w:fill="auto"/>
              <w:snapToGrid w:val="0"/>
              <w:jc w:val="center"/>
              <w:rPr>
                <w:sz w:val="18"/>
                <w:szCs w:val="18"/>
              </w:rPr>
            </w:pPr>
            <w:r>
              <w:rPr>
                <w:rFonts w:ascii="宋体" w:hAnsi="宋体" w:eastAsia="宋体" w:cs="宋体"/>
                <w:b w:val="0"/>
                <w:i w:val="0"/>
                <w:color w:val="000000"/>
                <w:sz w:val="18"/>
                <w:szCs w:val="18"/>
              </w:rPr>
              <w:t>科目编码</w:t>
            </w:r>
          </w:p>
        </w:tc>
        <w:tc>
          <w:tcPr>
            <w:tcW w:w="43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小计</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1380"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18"/>
                <w:szCs w:val="18"/>
              </w:rPr>
            </w:pPr>
          </w:p>
        </w:tc>
        <w:tc>
          <w:tcPr>
            <w:tcW w:w="4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80" w:type="dxa"/>
            <w:vMerge w:val="continue"/>
            <w:vAlign w:val="center"/>
          </w:tcPr>
          <w:p>
            <w:pPr>
              <w:rPr>
                <w:sz w:val="18"/>
                <w:szCs w:val="18"/>
              </w:rPr>
            </w:pPr>
          </w:p>
        </w:tc>
        <w:tc>
          <w:tcPr>
            <w:tcW w:w="13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38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358" w:type="dxa"/>
            <w:vAlign w:val="center"/>
          </w:tcPr>
          <w:p>
            <w:pPr>
              <w:snapToGrid w:val="0"/>
              <w:jc w:val="center"/>
              <w:rPr>
                <w:sz w:val="18"/>
                <w:szCs w:val="18"/>
              </w:rPr>
            </w:pPr>
            <w:r>
              <w:rPr>
                <w:rFonts w:ascii="宋体" w:hAnsi="宋体" w:eastAsia="宋体" w:cs="宋体"/>
                <w:b w:val="0"/>
                <w:i w:val="0"/>
                <w:color w:val="000000"/>
                <w:sz w:val="18"/>
                <w:szCs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58"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rPr>
            </w:pPr>
            <w:r>
              <w:rPr>
                <w:rFonts w:ascii="宋体" w:hAnsi="宋体" w:eastAsia="宋体" w:cs="宋体"/>
                <w:b w:val="0"/>
                <w:i w:val="0"/>
                <w:color w:val="000000"/>
                <w:sz w:val="18"/>
                <w:szCs w:val="18"/>
              </w:rPr>
              <w:t>229</w:t>
            </w:r>
          </w:p>
        </w:tc>
        <w:tc>
          <w:tcPr>
            <w:tcW w:w="4380" w:type="dxa"/>
            <w:vAlign w:val="center"/>
          </w:tcPr>
          <w:p>
            <w:pPr>
              <w:snapToGrid w:val="0"/>
              <w:jc w:val="left"/>
              <w:rPr>
                <w:sz w:val="18"/>
                <w:szCs w:val="18"/>
              </w:rPr>
            </w:pPr>
            <w:r>
              <w:rPr>
                <w:rFonts w:ascii="宋体" w:hAnsi="宋体" w:eastAsia="宋体" w:cs="宋体"/>
                <w:b w:val="0"/>
                <w:i w:val="0"/>
                <w:color w:val="000000"/>
                <w:sz w:val="18"/>
                <w:szCs w:val="18"/>
              </w:rPr>
              <w:t>其他支出</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58"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rPr>
            </w:pPr>
            <w:r>
              <w:rPr>
                <w:rFonts w:ascii="宋体" w:hAnsi="宋体" w:eastAsia="宋体" w:cs="宋体"/>
                <w:b w:val="0"/>
                <w:i w:val="0"/>
                <w:color w:val="000000"/>
                <w:sz w:val="18"/>
                <w:szCs w:val="18"/>
              </w:rPr>
              <w:t>22960</w:t>
            </w:r>
          </w:p>
        </w:tc>
        <w:tc>
          <w:tcPr>
            <w:tcW w:w="4380" w:type="dxa"/>
            <w:vAlign w:val="center"/>
          </w:tcPr>
          <w:p>
            <w:pPr>
              <w:snapToGrid w:val="0"/>
              <w:jc w:val="left"/>
              <w:rPr>
                <w:sz w:val="18"/>
                <w:szCs w:val="18"/>
              </w:rPr>
            </w:pPr>
            <w:r>
              <w:rPr>
                <w:rFonts w:ascii="宋体" w:hAnsi="宋体" w:eastAsia="宋体" w:cs="宋体"/>
                <w:b w:val="0"/>
                <w:i w:val="0"/>
                <w:color w:val="000000"/>
                <w:sz w:val="18"/>
                <w:szCs w:val="18"/>
              </w:rPr>
              <w:t>彩票公益金安排的支出</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58"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snapToGrid w:val="0"/>
              <w:jc w:val="left"/>
              <w:rPr>
                <w:sz w:val="18"/>
                <w:szCs w:val="18"/>
              </w:rPr>
            </w:pPr>
            <w:r>
              <w:rPr>
                <w:rFonts w:ascii="宋体" w:hAnsi="宋体" w:eastAsia="宋体" w:cs="宋体"/>
                <w:b w:val="0"/>
                <w:i w:val="0"/>
                <w:color w:val="000000"/>
                <w:sz w:val="18"/>
                <w:szCs w:val="18"/>
              </w:rPr>
              <w:t>2296099</w:t>
            </w:r>
          </w:p>
        </w:tc>
        <w:tc>
          <w:tcPr>
            <w:tcW w:w="4380" w:type="dxa"/>
            <w:vAlign w:val="center"/>
          </w:tcPr>
          <w:p>
            <w:pPr>
              <w:snapToGrid w:val="0"/>
              <w:jc w:val="left"/>
              <w:rPr>
                <w:sz w:val="18"/>
                <w:szCs w:val="18"/>
              </w:rPr>
            </w:pPr>
            <w:r>
              <w:rPr>
                <w:rFonts w:ascii="宋体" w:hAnsi="宋体" w:eastAsia="宋体" w:cs="宋体"/>
                <w:b w:val="0"/>
                <w:i w:val="0"/>
                <w:color w:val="000000"/>
                <w:sz w:val="18"/>
                <w:szCs w:val="18"/>
              </w:rPr>
              <w:t>用于其他社会公益事业的彩票公益金支出</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c>
          <w:tcPr>
            <w:tcW w:w="1380" w:type="dxa"/>
            <w:vAlign w:val="center"/>
          </w:tcPr>
          <w:p>
            <w:pPr>
              <w:snapToGrid w:val="0"/>
              <w:jc w:val="left"/>
              <w:rPr>
                <w:sz w:val="18"/>
                <w:szCs w:val="18"/>
              </w:rPr>
            </w:pPr>
            <w:r>
              <w:rPr>
                <w:rFonts w:ascii="宋体" w:hAnsi="宋体" w:eastAsia="宋体" w:cs="宋体"/>
                <w:b w:val="0"/>
                <w:i w:val="0"/>
                <w:color w:val="000000"/>
                <w:sz w:val="18"/>
                <w:szCs w:val="18"/>
              </w:rPr>
              <w:t>18.00</w:t>
            </w:r>
          </w:p>
        </w:tc>
        <w:tc>
          <w:tcPr>
            <w:tcW w:w="1358" w:type="dxa"/>
            <w:vAlign w:val="center"/>
          </w:tcPr>
          <w:p>
            <w:pPr>
              <w:snapToGrid w:val="0"/>
              <w:jc w:val="lef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注：本表反映本年度政府性基金预算财政拨款收入、支出及结转和结余情况。</w:t>
            </w:r>
          </w:p>
        </w:tc>
      </w:tr>
    </w:tbl>
    <w:p>
      <w:pPr>
        <w:sectPr>
          <w:pgSz w:w="16838" w:h="11906" w:orient="landscape"/>
          <w:pgMar w:top="1800" w:right="1440" w:bottom="1800"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项目</w:t>
            </w:r>
          </w:p>
        </w:tc>
        <w:tc>
          <w:tcPr>
            <w:tcW w:w="6518" w:type="dxa"/>
            <w:gridSpan w:val="3"/>
            <w:vAlign w:val="center"/>
          </w:tcPr>
          <w:p>
            <w:pPr>
              <w:snapToGrid w:val="0"/>
              <w:jc w:val="center"/>
              <w:rPr>
                <w:sz w:val="18"/>
                <w:szCs w:val="18"/>
              </w:rPr>
            </w:pPr>
            <w:r>
              <w:rPr>
                <w:rFonts w:ascii="宋体" w:hAnsi="宋体" w:eastAsia="宋体" w:cs="宋体"/>
                <w:b w:val="0"/>
                <w:i w:val="0"/>
                <w:color w:val="000000"/>
                <w:sz w:val="18"/>
                <w:szCs w:val="18"/>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18"/>
                <w:szCs w:val="18"/>
              </w:rPr>
            </w:pPr>
            <w:r>
              <w:rPr>
                <w:rFonts w:ascii="宋体" w:hAnsi="宋体" w:eastAsia="宋体" w:cs="宋体"/>
                <w:b w:val="0"/>
                <w:i w:val="0"/>
                <w:color w:val="000000"/>
                <w:sz w:val="18"/>
                <w:szCs w:val="18"/>
              </w:rPr>
              <w:t>科目代码</w:t>
            </w:r>
          </w:p>
        </w:tc>
        <w:tc>
          <w:tcPr>
            <w:tcW w:w="5580" w:type="dxa"/>
            <w:vMerge w:val="restart"/>
            <w:vAlign w:val="center"/>
          </w:tcPr>
          <w:p>
            <w:pPr>
              <w:snapToGrid w:val="0"/>
              <w:jc w:val="center"/>
              <w:rPr>
                <w:sz w:val="18"/>
                <w:szCs w:val="18"/>
              </w:rPr>
            </w:pPr>
            <w:r>
              <w:rPr>
                <w:rFonts w:ascii="宋体" w:hAnsi="宋体" w:eastAsia="宋体" w:cs="宋体"/>
                <w:b w:val="0"/>
                <w:i w:val="0"/>
                <w:color w:val="000000"/>
                <w:sz w:val="18"/>
                <w:szCs w:val="18"/>
              </w:rPr>
              <w:t>科目名称</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Merge w:val="restart"/>
            <w:vAlign w:val="center"/>
          </w:tcPr>
          <w:p>
            <w:pPr>
              <w:snapToGrid w:val="0"/>
              <w:jc w:val="center"/>
              <w:rPr>
                <w:sz w:val="18"/>
                <w:szCs w:val="18"/>
              </w:rPr>
            </w:pPr>
            <w:r>
              <w:rPr>
                <w:rFonts w:ascii="宋体" w:hAnsi="宋体" w:eastAsia="宋体" w:cs="宋体"/>
                <w:b w:val="0"/>
                <w:i w:val="0"/>
                <w:color w:val="000000"/>
                <w:sz w:val="18"/>
                <w:szCs w:val="18"/>
              </w:rPr>
              <w:t>基本支出</w:t>
            </w:r>
          </w:p>
        </w:tc>
        <w:tc>
          <w:tcPr>
            <w:tcW w:w="2158" w:type="dxa"/>
            <w:vMerge w:val="restart"/>
            <w:vAlign w:val="center"/>
          </w:tcPr>
          <w:p>
            <w:pPr>
              <w:snapToGrid w:val="0"/>
              <w:jc w:val="center"/>
              <w:rPr>
                <w:sz w:val="18"/>
                <w:szCs w:val="18"/>
              </w:rPr>
            </w:pPr>
            <w:r>
              <w:rPr>
                <w:rFonts w:ascii="宋体" w:hAnsi="宋体" w:eastAsia="宋体" w:cs="宋体"/>
                <w:b w:val="0"/>
                <w:i w:val="0"/>
                <w:color w:val="000000"/>
                <w:sz w:val="18"/>
                <w:szCs w:val="18"/>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18"/>
                <w:szCs w:val="18"/>
              </w:rPr>
            </w:pPr>
          </w:p>
        </w:tc>
        <w:tc>
          <w:tcPr>
            <w:tcW w:w="5580" w:type="dxa"/>
            <w:vMerge w:val="continue"/>
            <w:vAlign w:val="center"/>
          </w:tcPr>
          <w:p>
            <w:pPr>
              <w:rPr>
                <w:sz w:val="18"/>
                <w:szCs w:val="18"/>
              </w:rPr>
            </w:pPr>
          </w:p>
        </w:tc>
        <w:tc>
          <w:tcPr>
            <w:tcW w:w="2180" w:type="dxa"/>
            <w:vMerge w:val="continue"/>
            <w:vAlign w:val="center"/>
          </w:tcPr>
          <w:p>
            <w:pPr>
              <w:rPr>
                <w:sz w:val="18"/>
                <w:szCs w:val="18"/>
              </w:rPr>
            </w:pPr>
          </w:p>
        </w:tc>
        <w:tc>
          <w:tcPr>
            <w:tcW w:w="2180" w:type="dxa"/>
            <w:vMerge w:val="continue"/>
            <w:vAlign w:val="center"/>
          </w:tcPr>
          <w:p>
            <w:pPr>
              <w:rPr>
                <w:sz w:val="18"/>
                <w:szCs w:val="18"/>
              </w:rPr>
            </w:pPr>
          </w:p>
        </w:tc>
        <w:tc>
          <w:tcPr>
            <w:tcW w:w="215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栏次</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218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2158" w:type="dxa"/>
            <w:vAlign w:val="center"/>
          </w:tcPr>
          <w:p>
            <w:pPr>
              <w:snapToGrid w:val="0"/>
              <w:jc w:val="center"/>
              <w:rPr>
                <w:sz w:val="18"/>
                <w:szCs w:val="18"/>
              </w:rPr>
            </w:pPr>
            <w:r>
              <w:rPr>
                <w:rFonts w:ascii="宋体" w:hAnsi="宋体" w:eastAsia="宋体" w:cs="宋体"/>
                <w:b w:val="0"/>
                <w:i w:val="0"/>
                <w:color w:val="000000"/>
                <w:sz w:val="18"/>
                <w:szCs w:val="18"/>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18"/>
                <w:szCs w:val="18"/>
              </w:rPr>
            </w:pPr>
            <w:r>
              <w:rPr>
                <w:rFonts w:ascii="宋体" w:hAnsi="宋体" w:eastAsia="宋体" w:cs="宋体"/>
                <w:b w:val="0"/>
                <w:i w:val="0"/>
                <w:color w:val="000000"/>
                <w:sz w:val="18"/>
                <w:szCs w:val="18"/>
              </w:rPr>
              <w:t>合计</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8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215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18"/>
                <w:szCs w:val="18"/>
              </w:rPr>
            </w:pPr>
          </w:p>
        </w:tc>
        <w:tc>
          <w:tcPr>
            <w:tcW w:w="5580" w:type="dxa"/>
            <w:vAlign w:val="center"/>
          </w:tcPr>
          <w:p>
            <w:pPr>
              <w:rPr>
                <w:sz w:val="18"/>
                <w:szCs w:val="18"/>
              </w:rPr>
            </w:pPr>
          </w:p>
        </w:tc>
        <w:tc>
          <w:tcPr>
            <w:tcW w:w="2180" w:type="dxa"/>
            <w:vAlign w:val="center"/>
          </w:tcPr>
          <w:p>
            <w:pPr>
              <w:rPr>
                <w:sz w:val="18"/>
                <w:szCs w:val="18"/>
              </w:rPr>
            </w:pPr>
          </w:p>
        </w:tc>
        <w:tc>
          <w:tcPr>
            <w:tcW w:w="2180" w:type="dxa"/>
            <w:vAlign w:val="center"/>
          </w:tcPr>
          <w:p>
            <w:pPr>
              <w:rPr>
                <w:sz w:val="18"/>
                <w:szCs w:val="18"/>
              </w:rPr>
            </w:pPr>
          </w:p>
        </w:tc>
        <w:tc>
          <w:tcPr>
            <w:tcW w:w="2158" w:type="dxa"/>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18"/>
                <w:szCs w:val="18"/>
              </w:rPr>
            </w:pPr>
            <w:r>
              <w:rPr>
                <w:rFonts w:ascii="宋体" w:hAnsi="宋体" w:eastAsia="宋体" w:cs="宋体"/>
                <w:b w:val="0"/>
                <w:i w:val="0"/>
                <w:color w:val="000000"/>
                <w:sz w:val="18"/>
                <w:szCs w:val="18"/>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说明：我部门没有使用国有资本经营预算安排的支出，故本表无数据。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18"/>
                <w:szCs w:val="18"/>
              </w:rPr>
            </w:pPr>
            <w:r>
              <w:rPr>
                <w:rFonts w:ascii="宋体" w:hAnsi="宋体" w:eastAsia="宋体" w:cs="宋体"/>
                <w:sz w:val="18"/>
                <w:szCs w:val="18"/>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18"/>
                <w:szCs w:val="18"/>
              </w:rPr>
            </w:pPr>
            <w:r>
              <w:rPr>
                <w:rFonts w:ascii="宋体" w:hAnsi="宋体" w:eastAsia="宋体" w:cs="宋体"/>
                <w:sz w:val="18"/>
                <w:szCs w:val="18"/>
              </w:rPr>
              <w:t>部门：郸城县妇女联合会</w:t>
            </w:r>
          </w:p>
        </w:tc>
        <w:tc>
          <w:tcPr>
            <w:tcW w:w="2000" w:type="dxa"/>
          </w:tcPr>
          <w:p>
            <w:pPr>
              <w:jc w:val="center"/>
              <w:rPr>
                <w:sz w:val="18"/>
                <w:szCs w:val="18"/>
              </w:rPr>
            </w:pPr>
            <w:r>
              <w:rPr>
                <w:rFonts w:ascii="宋体" w:hAnsi="宋体" w:eastAsia="宋体" w:cs="宋体"/>
                <w:sz w:val="18"/>
                <w:szCs w:val="18"/>
              </w:rPr>
              <w:t>2024年度</w:t>
            </w:r>
          </w:p>
        </w:tc>
        <w:tc>
          <w:tcPr>
            <w:tcW w:w="5979" w:type="dxa"/>
          </w:tcPr>
          <w:p>
            <w:pPr>
              <w:jc w:val="right"/>
              <w:rPr>
                <w:rFonts w:hint="eastAsia" w:eastAsia="宋体"/>
                <w:sz w:val="18"/>
                <w:szCs w:val="18"/>
                <w:lang w:eastAsia="zh-CN"/>
              </w:rPr>
            </w:pPr>
            <w:r>
              <w:rPr>
                <w:rFonts w:hint="eastAsia" w:ascii="宋体" w:hAnsi="宋体" w:cs="宋体"/>
                <w:sz w:val="18"/>
                <w:szCs w:val="18"/>
                <w:lang w:eastAsia="zh-CN"/>
              </w:rPr>
              <w:t>金额单位：万元</w:t>
            </w:r>
          </w:p>
        </w:tc>
      </w:tr>
    </w:tbl>
    <w:p>
      <w:pPr>
        <w:snapToGrid w:val="0"/>
        <w:spacing w:before="0" w:after="0" w:line="0" w:lineRule="auto"/>
        <w:rPr>
          <w:sz w:val="18"/>
          <w:szCs w:val="18"/>
        </w:rPr>
      </w:pPr>
      <w:r>
        <w:rPr>
          <w:sz w:val="18"/>
          <w:szCs w:val="1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18"/>
                <w:szCs w:val="18"/>
              </w:rPr>
            </w:pPr>
            <w:r>
              <w:rPr>
                <w:rFonts w:ascii="宋体" w:hAnsi="宋体" w:eastAsia="宋体" w:cs="宋体"/>
                <w:b w:val="0"/>
                <w:i w:val="0"/>
                <w:color w:val="000000"/>
                <w:sz w:val="18"/>
                <w:szCs w:val="18"/>
              </w:rPr>
              <w:t>预算数</w:t>
            </w:r>
          </w:p>
        </w:tc>
        <w:tc>
          <w:tcPr>
            <w:tcW w:w="6998" w:type="dxa"/>
            <w:gridSpan w:val="6"/>
            <w:vAlign w:val="center"/>
          </w:tcPr>
          <w:p>
            <w:pPr>
              <w:snapToGrid w:val="0"/>
              <w:jc w:val="center"/>
              <w:rPr>
                <w:sz w:val="18"/>
                <w:szCs w:val="18"/>
              </w:rPr>
            </w:pPr>
            <w:r>
              <w:rPr>
                <w:rFonts w:ascii="宋体" w:hAnsi="宋体" w:eastAsia="宋体" w:cs="宋体"/>
                <w:b w:val="0"/>
                <w:i w:val="0"/>
                <w:color w:val="000000"/>
                <w:sz w:val="18"/>
                <w:szCs w:val="18"/>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合计</w:t>
            </w:r>
          </w:p>
        </w:tc>
        <w:tc>
          <w:tcPr>
            <w:tcW w:w="1160" w:type="dxa"/>
            <w:vMerge w:val="restart"/>
            <w:vAlign w:val="center"/>
          </w:tcPr>
          <w:p>
            <w:pPr>
              <w:snapToGrid w:val="0"/>
              <w:jc w:val="center"/>
              <w:rPr>
                <w:sz w:val="18"/>
                <w:szCs w:val="18"/>
              </w:rPr>
            </w:pPr>
            <w:r>
              <w:rPr>
                <w:rFonts w:ascii="宋体" w:hAnsi="宋体" w:eastAsia="宋体" w:cs="宋体"/>
                <w:b w:val="0"/>
                <w:i w:val="0"/>
                <w:color w:val="000000"/>
                <w:sz w:val="18"/>
                <w:szCs w:val="18"/>
              </w:rPr>
              <w:t>因公出国（境）费</w:t>
            </w:r>
          </w:p>
        </w:tc>
        <w:tc>
          <w:tcPr>
            <w:tcW w:w="3480" w:type="dxa"/>
            <w:gridSpan w:val="3"/>
            <w:vAlign w:val="center"/>
          </w:tcPr>
          <w:p>
            <w:pPr>
              <w:snapToGrid w:val="0"/>
              <w:jc w:val="center"/>
              <w:rPr>
                <w:sz w:val="18"/>
                <w:szCs w:val="18"/>
              </w:rPr>
            </w:pPr>
            <w:r>
              <w:rPr>
                <w:rFonts w:ascii="宋体" w:hAnsi="宋体" w:eastAsia="宋体" w:cs="宋体"/>
                <w:b w:val="0"/>
                <w:i w:val="0"/>
                <w:color w:val="000000"/>
                <w:sz w:val="18"/>
                <w:szCs w:val="18"/>
              </w:rPr>
              <w:t>公务用车购置及运行维护费</w:t>
            </w:r>
          </w:p>
        </w:tc>
        <w:tc>
          <w:tcPr>
            <w:tcW w:w="1198" w:type="dxa"/>
            <w:vMerge w:val="restart"/>
            <w:vAlign w:val="center"/>
          </w:tcPr>
          <w:p>
            <w:pPr>
              <w:snapToGrid w:val="0"/>
              <w:jc w:val="center"/>
              <w:rPr>
                <w:sz w:val="18"/>
                <w:szCs w:val="18"/>
              </w:rPr>
            </w:pPr>
            <w:r>
              <w:rPr>
                <w:rFonts w:ascii="宋体" w:hAnsi="宋体" w:eastAsia="宋体" w:cs="宋体"/>
                <w:b w:val="0"/>
                <w:i w:val="0"/>
                <w:color w:val="000000"/>
                <w:sz w:val="18"/>
                <w:szCs w:val="18"/>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Merge w:val="continue"/>
            <w:vAlign w:val="center"/>
          </w:tcPr>
          <w:p>
            <w:pPr>
              <w:rPr>
                <w:sz w:val="18"/>
                <w:szCs w:val="18"/>
              </w:rPr>
            </w:pP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小计</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公务用车购置费</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公务用车运行维护费</w:t>
            </w:r>
          </w:p>
        </w:tc>
        <w:tc>
          <w:tcPr>
            <w:tcW w:w="1198" w:type="dxa"/>
            <w:vMerge w:val="continue"/>
            <w:vAlign w:val="center"/>
          </w:tcPr>
          <w:p>
            <w:pPr>
              <w:rPr>
                <w:sz w:val="18"/>
                <w:szCs w:val="18"/>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18"/>
                <w:szCs w:val="18"/>
              </w:rPr>
            </w:pPr>
            <w:r>
              <w:rPr>
                <w:rFonts w:ascii="宋体" w:hAnsi="宋体" w:eastAsia="宋体" w:cs="宋体"/>
                <w:b w:val="0"/>
                <w:i w:val="0"/>
                <w:color w:val="000000"/>
                <w:sz w:val="18"/>
                <w:szCs w:val="18"/>
              </w:rPr>
              <w:t>1</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2</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3</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4</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5</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6</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7</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8</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9</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10</w:t>
            </w:r>
          </w:p>
        </w:tc>
        <w:tc>
          <w:tcPr>
            <w:tcW w:w="1160" w:type="dxa"/>
            <w:vAlign w:val="center"/>
          </w:tcPr>
          <w:p>
            <w:pPr>
              <w:snapToGrid w:val="0"/>
              <w:jc w:val="center"/>
              <w:rPr>
                <w:sz w:val="18"/>
                <w:szCs w:val="18"/>
              </w:rPr>
            </w:pPr>
            <w:r>
              <w:rPr>
                <w:rFonts w:ascii="宋体" w:hAnsi="宋体" w:eastAsia="宋体" w:cs="宋体"/>
                <w:b w:val="0"/>
                <w:i w:val="0"/>
                <w:color w:val="000000"/>
                <w:sz w:val="18"/>
                <w:szCs w:val="18"/>
              </w:rPr>
              <w:t>11</w:t>
            </w:r>
          </w:p>
        </w:tc>
        <w:tc>
          <w:tcPr>
            <w:tcW w:w="1198" w:type="dxa"/>
            <w:vAlign w:val="center"/>
          </w:tcPr>
          <w:p>
            <w:pPr>
              <w:snapToGrid w:val="0"/>
              <w:jc w:val="center"/>
              <w:rPr>
                <w:sz w:val="18"/>
                <w:szCs w:val="18"/>
              </w:rPr>
            </w:pPr>
            <w:r>
              <w:rPr>
                <w:rFonts w:ascii="宋体" w:hAnsi="宋体" w:eastAsia="宋体" w:cs="宋体"/>
                <w:b w:val="0"/>
                <w:i w:val="0"/>
                <w:color w:val="000000"/>
                <w:sz w:val="18"/>
                <w:szCs w:val="18"/>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60"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c>
          <w:tcPr>
            <w:tcW w:w="1198" w:type="dxa"/>
            <w:vAlign w:val="center"/>
          </w:tcPr>
          <w:p>
            <w:pPr>
              <w:snapToGrid w:val="0"/>
              <w:jc w:val="right"/>
              <w:rPr>
                <w:sz w:val="18"/>
                <w:szCs w:val="18"/>
              </w:rPr>
            </w:pPr>
            <w:r>
              <w:rPr>
                <w:rFonts w:ascii="宋体" w:hAnsi="宋体" w:eastAsia="宋体" w:cs="宋体"/>
                <w:b w:val="0"/>
                <w:i w:val="0"/>
                <w:color w:val="000000"/>
                <w:sz w:val="18"/>
                <w:szCs w:val="18"/>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 xml:space="preserve">说明：我部门没有“三公”经费预算，也没有“三公”经费支出，故本表无数据。 </w:t>
      </w:r>
    </w:p>
    <w:p>
      <w:pPr>
        <w:keepNext w:val="0"/>
        <w:keepLines w:val="0"/>
        <w:pageBreakBefore w:val="0"/>
        <w:tabs>
          <w:tab w:val="left" w:pos="5665"/>
        </w:tabs>
        <w:kinsoku/>
        <w:wordWrap w:val="0"/>
        <w:overflowPunct/>
        <w:topLinePunct w:val="0"/>
        <w:autoSpaceDE/>
        <w:autoSpaceDN/>
        <w:bidi w:val="0"/>
        <w:jc w:val="both"/>
        <w:rPr>
          <w:rFonts w:ascii="仿宋_GB2312" w:hAnsi="仿宋_GB2312" w:eastAsia="仿宋_GB2312" w:cs="仿宋_GB2312"/>
          <w:sz w:val="32"/>
          <w:szCs w:val="32"/>
          <w:lang w:val="en-US" w:eastAsia="zh-CN"/>
        </w:rPr>
      </w:pPr>
    </w:p>
    <w:p>
      <w:pPr>
        <w:keepNext w:val="0"/>
        <w:keepLines w:val="0"/>
        <w:pageBreakBefore w:val="0"/>
        <w:tabs>
          <w:tab w:val="left" w:pos="5665"/>
        </w:tabs>
        <w:kinsoku/>
        <w:wordWrap w:val="0"/>
        <w:overflowPunct/>
        <w:topLinePunct w:val="0"/>
        <w:autoSpaceDE/>
        <w:autoSpaceDN/>
        <w:bidi w:val="0"/>
        <w:jc w:val="both"/>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173.74</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与上年度相比，收、支总计各增加27.31万元，增长18.65%，主要原因是：本年我单位业务活动增多，支出增加。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173.74</w:t>
      </w:r>
      <w:r>
        <w:rPr>
          <w:rFonts w:hint="eastAsia" w:ascii="仿宋_GB2312" w:hAnsi="仿宋_GB2312" w:eastAsia="仿宋_GB2312" w:cs="仿宋_GB2312"/>
          <w:sz w:val="32"/>
          <w:szCs w:val="32"/>
          <w:lang w:val="en-US" w:eastAsia="zh-CN"/>
        </w:rPr>
        <w:t>万元，其中：财政拨款收入116.94万元，占67.31%;其他收入56.80万元，占32.69%。</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173.74</w:t>
      </w:r>
      <w:r>
        <w:rPr>
          <w:rFonts w:hint="eastAsia" w:ascii="仿宋_GB2312" w:hAnsi="仿宋_GB2312" w:eastAsia="仿宋_GB2312" w:cs="仿宋_GB2312"/>
          <w:sz w:val="32"/>
          <w:szCs w:val="32"/>
          <w:lang w:val="en-US" w:eastAsia="zh-CN"/>
        </w:rPr>
        <w:t>万元，其中：基本支出112.65万元，占64.84%;项目支出61.09万元，占35.16%。</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116.94</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与上年度相比，财政拨款收、支总计各减少29.49万元，下降20.14%，主要原因是：</w:t>
      </w:r>
      <w:r>
        <w:rPr>
          <w:rFonts w:hint="eastAsia" w:ascii="仿宋" w:hAnsi="仿宋" w:eastAsia="仿宋" w:cs="仿宋"/>
          <w:snapToGrid/>
          <w:color w:val="auto"/>
          <w:kern w:val="2"/>
          <w:sz w:val="32"/>
          <w:szCs w:val="32"/>
          <w:highlight w:val="none"/>
          <w:lang w:val="en-US" w:eastAsia="zh-CN" w:bidi="ar-SA"/>
        </w:rPr>
        <w:t>本年我单位业务活动增多，支出增加</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 w:hAnsi="仿宋" w:eastAsia="仿宋" w:cs="仿宋"/>
          <w:snapToGrid/>
          <w:color w:val="auto"/>
          <w:kern w:val="2"/>
          <w:sz w:val="32"/>
          <w:szCs w:val="32"/>
          <w:highlight w:val="none"/>
          <w:lang w:val="en-US" w:eastAsia="zh-CN" w:bidi="ar-SA"/>
        </w:rPr>
      </w:pPr>
      <w:r>
        <w:rPr>
          <w:rFonts w:hint="eastAsia" w:ascii="仿宋_GB2312" w:hAnsi="仿宋_GB2312" w:eastAsia="仿宋_GB2312" w:cs="仿宋_GB2312"/>
          <w:sz w:val="32"/>
          <w:szCs w:val="32"/>
          <w:lang w:val="en-US" w:eastAsia="zh-CN"/>
        </w:rPr>
        <w:t>2024年度一般公共预算财政拨款支出98.94万元，占支出合计的56.95%。与上年度相比，一般公共预算财政拨款支出增加16.51万元，增长20.03%，主要原因是：</w:t>
      </w:r>
      <w:r>
        <w:rPr>
          <w:rFonts w:hint="eastAsia" w:ascii="仿宋" w:hAnsi="仿宋" w:eastAsia="仿宋" w:cs="仿宋"/>
          <w:snapToGrid/>
          <w:color w:val="auto"/>
          <w:kern w:val="2"/>
          <w:sz w:val="32"/>
          <w:szCs w:val="32"/>
          <w:highlight w:val="none"/>
          <w:lang w:val="en-US" w:eastAsia="zh-CN" w:bidi="ar-SA"/>
        </w:rPr>
        <w:t>本年我单位业务活动增多，支出增加。</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 w:hAnsi="仿宋" w:eastAsia="仿宋" w:cs="仿宋"/>
          <w:snapToGrid/>
          <w:color w:val="auto"/>
          <w:kern w:val="2"/>
          <w:sz w:val="32"/>
          <w:szCs w:val="32"/>
          <w:highlight w:val="none"/>
          <w:lang w:val="en-US" w:eastAsia="zh-CN" w:bidi="ar-SA"/>
        </w:rPr>
      </w:pPr>
      <w:r>
        <w:rPr>
          <w:rFonts w:hint="eastAsia" w:ascii="仿宋" w:hAnsi="仿宋" w:eastAsia="仿宋" w:cs="仿宋"/>
          <w:snapToGrid/>
          <w:color w:val="auto"/>
          <w:kern w:val="2"/>
          <w:sz w:val="32"/>
          <w:szCs w:val="32"/>
          <w:highlight w:val="none"/>
          <w:lang w:val="en-US" w:eastAsia="zh-CN" w:bidi="ar-SA"/>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98.94万元，主要用于以下方面：一般公共服务（类）支出85.63万元，占86.54%;社会保障和就业（类）支出5.77万元，占5.83%;卫生健康（类）支出4.24万元，占4.28%;住房保障（类）支出3.30万元，占3.34%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67.97</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98.94</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145.56</w:t>
      </w:r>
      <w:r>
        <w:rPr>
          <w:rFonts w:hint="eastAsia" w:ascii="仿宋_GB2312" w:hAnsi="仿宋_GB2312" w:eastAsia="仿宋_GB2312" w:cs="仿宋_GB2312"/>
          <w:sz w:val="32"/>
          <w:szCs w:val="32"/>
          <w:lang w:val="en-US" w:eastAsia="zh-CN"/>
        </w:rPr>
        <w:t>%。其中：</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44.21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42.54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，完成年初预算的96.21%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本年我单位该项资金年末未清算。</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tl w:val="0"/>
          <w:lang w:val="en-US" w:eastAsia="zh-CN"/>
        </w:rPr>
        <w:t>一般公共服务支出（类）群众团体事务（款</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12.00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43.09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，完成年初预算的359.09%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之前年度指标于本年支出。</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tl w:val="0"/>
          <w:lang w:val="en-US" w:eastAsia="zh-CN"/>
        </w:rPr>
        <w:t>社会保障和就业支出（类）行政事业单位养老支出</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4.97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5.70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，完成年初预算的114.65%</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之前年度指标于本年支出。</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auto"/>
          <w:kern w:val="2"/>
          <w:sz w:val="32"/>
          <w:szCs w:val="32"/>
          <w:highlight w:val="none"/>
          <w:lang w:val="en-US" w:eastAsia="zh-CN" w:bidi="ar-SA"/>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tl w:val="0"/>
          <w:lang w:val="en-US" w:eastAsia="zh-CN"/>
        </w:rPr>
        <w:t>社会保障和就业支出（类）其他社会保障和就业支出（款）其他社会保障和就业支出（项）</w:t>
      </w:r>
      <w:r>
        <w:rPr>
          <w:rFonts w:hint="eastAsia" w:ascii="仿宋_GB2312" w:hAnsi="仿宋_GB2312" w:eastAsia="仿宋_GB2312" w:cs="仿宋_GB2312"/>
          <w:sz w:val="32"/>
          <w:szCs w:val="32"/>
          <w:lang w:val="en-US" w:eastAsia="zh-CN"/>
        </w:rPr>
        <w:t>。年初预算为</w:t>
      </w:r>
      <w:r>
        <w:rPr>
          <w:rFonts w:hint="eastAsia" w:ascii="仿宋_GB2312" w:hAnsi="仿宋_GB2312" w:eastAsia="仿宋_GB2312" w:cs="仿宋_GB2312"/>
          <w:sz w:val="32"/>
          <w:szCs w:val="32"/>
          <w:rtl w:val="0"/>
          <w:lang w:val="en-US" w:eastAsia="zh-CN"/>
        </w:rPr>
        <w:t>0.03</w:t>
      </w:r>
      <w:r>
        <w:rPr>
          <w:rFonts w:hint="eastAsia" w:ascii="仿宋_GB2312" w:hAnsi="仿宋_GB2312" w:eastAsia="仿宋_GB2312" w:cs="仿宋_GB2312"/>
          <w:sz w:val="32"/>
          <w:szCs w:val="32"/>
          <w:lang w:val="en-US" w:eastAsia="zh-CN"/>
        </w:rPr>
        <w:t>万元，支出决算为</w:t>
      </w:r>
      <w:r>
        <w:rPr>
          <w:rFonts w:hint="eastAsia" w:ascii="仿宋_GB2312" w:hAnsi="仿宋_GB2312" w:eastAsia="仿宋_GB2312" w:cs="仿宋_GB2312"/>
          <w:sz w:val="32"/>
          <w:szCs w:val="32"/>
          <w:rtl w:val="0"/>
          <w:lang w:val="en-US" w:eastAsia="zh-CN"/>
        </w:rPr>
        <w:t>0.07</w:t>
      </w:r>
      <w:r>
        <w:rPr>
          <w:rFonts w:hint="eastAsia" w:ascii="仿宋_GB2312" w:hAnsi="仿宋_GB2312" w:eastAsia="仿宋_GB2312" w:cs="仿宋_GB2312"/>
          <w:sz w:val="32"/>
          <w:szCs w:val="32"/>
          <w:lang w:val="en-US" w:eastAsia="zh-CN"/>
        </w:rPr>
        <w:t>万元</w:t>
      </w:r>
      <w:r>
        <w:rPr>
          <w:rFonts w:hint="eastAsia" w:ascii="仿宋_GB2312" w:hAnsi="仿宋_GB2312" w:eastAsia="仿宋_GB2312" w:cs="仿宋_GB2312"/>
          <w:sz w:val="32"/>
          <w:szCs w:val="32"/>
          <w:rtl w:val="0"/>
          <w:lang w:val="en-US" w:eastAsia="zh-CN"/>
        </w:rPr>
        <w:t>，完成年初预算的248.06%</w:t>
      </w:r>
      <w:r>
        <w:rPr>
          <w:rFonts w:hint="eastAsia" w:ascii="仿宋_GB2312" w:hAnsi="仿宋_GB2312" w:eastAsia="仿宋_GB2312" w:cs="仿宋_GB2312"/>
          <w:sz w:val="32"/>
          <w:szCs w:val="32"/>
          <w:lang w:val="en-US" w:eastAsia="zh-CN"/>
        </w:rPr>
        <w:t>。决算数与年初预算数</w:t>
      </w:r>
      <w:r>
        <w:rPr>
          <w:rFonts w:hint="eastAsia" w:ascii="仿宋_GB2312" w:hAnsi="仿宋_GB2312" w:eastAsia="仿宋_GB2312" w:cs="仿宋_GB2312"/>
          <w:sz w:val="32"/>
          <w:szCs w:val="32"/>
          <w:rtl w:val="0"/>
          <w:lang w:val="en-US" w:eastAsia="zh-CN"/>
        </w:rPr>
        <w:t>存在差异的主要原因是：</w:t>
      </w:r>
      <w:r>
        <w:rPr>
          <w:rFonts w:hint="eastAsia" w:ascii="仿宋_GB2312" w:hAnsi="仿宋_GB2312" w:eastAsia="仿宋_GB2312" w:cs="仿宋_GB2312"/>
          <w:sz w:val="32"/>
          <w:szCs w:val="32"/>
          <w:lang w:val="en-US" w:eastAsia="zh-CN"/>
        </w:rPr>
        <w:t>之前年度指标于</w:t>
      </w:r>
      <w:r>
        <w:rPr>
          <w:rFonts w:hint="eastAsia" w:ascii="仿宋" w:hAnsi="仿宋" w:eastAsia="仿宋" w:cs="仿宋"/>
          <w:snapToGrid/>
          <w:color w:val="auto"/>
          <w:kern w:val="2"/>
          <w:sz w:val="32"/>
          <w:szCs w:val="32"/>
          <w:highlight w:val="none"/>
          <w:lang w:val="en-US" w:eastAsia="zh-CN" w:bidi="ar-SA"/>
        </w:rPr>
        <w:t>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1.99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，完成年初预算的99.97%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本年单位根据实际情况支出。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1.66</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2.25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，完成年初预算的135.37%</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_GB2312" w:hAnsi="仿宋_GB2312" w:eastAsia="仿宋_GB2312" w:cs="仿宋_GB2312"/>
          <w:sz w:val="32"/>
          <w:szCs w:val="32"/>
          <w:lang w:val="en-US" w:eastAsia="zh-CN"/>
        </w:rPr>
        <w:t>之前年度指标于本年支出。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tl w:val="0"/>
          <w:lang w:val="en-US" w:eastAsia="zh-CN"/>
        </w:rPr>
        <w:t>住房保障支出（类）住房改革支出（款）住房公积金（项）</w:t>
      </w:r>
      <w:r>
        <w:rPr>
          <w:rFonts w:hint="eastAsia" w:ascii="仿宋_GB2312" w:hAnsi="仿宋_GB2312" w:eastAsia="仿宋_GB2312" w:cs="仿宋_GB2312"/>
          <w:sz w:val="32"/>
          <w:szCs w:val="32"/>
          <w:lang w:val="en-US" w:eastAsia="zh-CN"/>
        </w:rPr>
        <w:t>。年初预算为</w:t>
      </w:r>
      <w:r>
        <w:rPr>
          <w:rFonts w:hint="eastAsia" w:ascii="仿宋_GB2312" w:hAnsi="仿宋_GB2312" w:eastAsia="仿宋_GB2312" w:cs="仿宋_GB2312"/>
          <w:sz w:val="32"/>
          <w:szCs w:val="32"/>
          <w:rtl w:val="0"/>
          <w:lang w:val="en-US" w:eastAsia="zh-CN"/>
        </w:rPr>
        <w:t>2.49</w:t>
      </w:r>
      <w:r>
        <w:rPr>
          <w:rFonts w:hint="eastAsia" w:ascii="仿宋_GB2312" w:hAnsi="仿宋_GB2312" w:eastAsia="仿宋_GB2312" w:cs="仿宋_GB2312"/>
          <w:sz w:val="32"/>
          <w:szCs w:val="32"/>
          <w:lang w:val="en-US" w:eastAsia="zh-CN"/>
        </w:rPr>
        <w:t>万元，支出决算为</w:t>
      </w:r>
      <w:r>
        <w:rPr>
          <w:rFonts w:hint="eastAsia" w:ascii="仿宋_GB2312" w:hAnsi="仿宋_GB2312" w:eastAsia="仿宋_GB2312" w:cs="仿宋_GB2312"/>
          <w:sz w:val="32"/>
          <w:szCs w:val="32"/>
          <w:rtl w:val="0"/>
          <w:lang w:val="en-US" w:eastAsia="zh-CN"/>
        </w:rPr>
        <w:t>3.30</w:t>
      </w:r>
      <w:r>
        <w:rPr>
          <w:rFonts w:hint="eastAsia" w:ascii="仿宋_GB2312" w:hAnsi="仿宋_GB2312" w:eastAsia="仿宋_GB2312" w:cs="仿宋_GB2312"/>
          <w:sz w:val="32"/>
          <w:szCs w:val="32"/>
          <w:lang w:val="en-US" w:eastAsia="zh-CN"/>
        </w:rPr>
        <w:t>万元</w:t>
      </w:r>
      <w:r>
        <w:rPr>
          <w:rFonts w:hint="eastAsia" w:ascii="仿宋_GB2312" w:hAnsi="仿宋_GB2312" w:eastAsia="仿宋_GB2312" w:cs="仿宋_GB2312"/>
          <w:sz w:val="32"/>
          <w:szCs w:val="32"/>
          <w:rtl w:val="0"/>
          <w:lang w:val="en-US" w:eastAsia="zh-CN"/>
        </w:rPr>
        <w:t>，完成年初预算的132.73%</w:t>
      </w:r>
      <w:r>
        <w:rPr>
          <w:rFonts w:hint="eastAsia" w:ascii="仿宋_GB2312" w:hAnsi="仿宋_GB2312" w:eastAsia="仿宋_GB2312" w:cs="仿宋_GB2312"/>
          <w:sz w:val="32"/>
          <w:szCs w:val="32"/>
          <w:lang w:val="en-US" w:eastAsia="zh-CN"/>
        </w:rPr>
        <w:t>。决算数与年初预算数</w:t>
      </w:r>
      <w:r>
        <w:rPr>
          <w:rFonts w:hint="eastAsia" w:ascii="仿宋_GB2312" w:hAnsi="仿宋_GB2312" w:eastAsia="仿宋_GB2312" w:cs="仿宋_GB2312"/>
          <w:sz w:val="32"/>
          <w:szCs w:val="32"/>
          <w:rtl w:val="0"/>
          <w:lang w:val="en-US" w:eastAsia="zh-CN"/>
        </w:rPr>
        <w:t>存在差异的主要原因是：</w:t>
      </w:r>
      <w:r>
        <w:rPr>
          <w:rFonts w:hint="eastAsia" w:ascii="仿宋_GB2312" w:hAnsi="仿宋_GB2312" w:eastAsia="仿宋_GB2312" w:cs="仿宋_GB2312"/>
          <w:sz w:val="32"/>
          <w:szCs w:val="32"/>
          <w:lang w:val="en-US" w:eastAsia="zh-CN"/>
        </w:rPr>
        <w:t>之前年度指标于本年支出。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55.85</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46.41</w:t>
      </w:r>
      <w:r>
        <w:rPr>
          <w:rFonts w:hint="eastAsia" w:ascii="仿宋_GB2312" w:hAnsi="仿宋_GB2312" w:eastAsia="仿宋_GB2312" w:cs="仿宋_GB2312"/>
          <w:sz w:val="32"/>
          <w:szCs w:val="32"/>
          <w:lang w:val="en-US" w:eastAsia="zh-CN"/>
        </w:rPr>
        <w:t>万元，主要包括：基本工资、津贴补贴、奖金、机关事业单位基本养老保险缴费、职工基本医疗保险缴费、其他社会保障缴费、住房公积金；公用经费</w:t>
      </w:r>
      <w:r>
        <w:rPr>
          <w:rFonts w:hint="eastAsia" w:ascii="仿宋_GB2312" w:hAnsi="Times New Roman" w:eastAsia="仿宋_GB2312"/>
          <w:sz w:val="32"/>
          <w:szCs w:val="32"/>
          <w:lang w:val="en-US" w:eastAsia="zh-CN"/>
        </w:rPr>
        <w:t>9.44</w:t>
      </w:r>
      <w:r>
        <w:rPr>
          <w:rFonts w:hint="eastAsia" w:ascii="仿宋_GB2312" w:hAnsi="仿宋_GB2312" w:eastAsia="仿宋_GB2312" w:cs="仿宋_GB2312"/>
          <w:sz w:val="32"/>
          <w:szCs w:val="32"/>
          <w:lang w:val="en-US" w:eastAsia="zh-CN"/>
        </w:rPr>
        <w:t>万元，主要包括：办公费、印刷费、差旅费、福利费、其他交通费用。</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政府性基金预算财政拨款支出年初预算为0.00万元，支出决算为18.00万元，完成年初预算的100.00%，决算数与年初预算数存在差异的主要原因是：该项根据当年的分配资金情况和项目情况进行申请，不在年初预算内。主要用于其他社会公益事业的彩票公益金支出。年末无结转结余资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0.00万元。2024年共接待国内来访团组0个、来宾0人次（不包括陪同人员）。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2024年度机关运行经费支出9.44万元，比2023年减少0.33万元，下降3.33%。主要原因是：</w:t>
      </w:r>
      <w:r>
        <w:rPr>
          <w:rFonts w:hint="eastAsia" w:ascii="仿宋_GB2312" w:hAnsi="仿宋_GB2312" w:eastAsia="仿宋_GB2312" w:cs="仿宋_GB2312"/>
          <w:sz w:val="32"/>
          <w:szCs w:val="32"/>
          <w:lang w:val="en-US" w:eastAsia="zh-CN"/>
        </w:rPr>
        <w:t>本年我单位减少机关运行经费支出。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41.10</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4</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1351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4"/>
        <w:gridCol w:w="677"/>
        <w:gridCol w:w="815"/>
        <w:gridCol w:w="686"/>
        <w:gridCol w:w="831"/>
        <w:gridCol w:w="670"/>
        <w:gridCol w:w="1501"/>
        <w:gridCol w:w="544"/>
        <w:gridCol w:w="957"/>
        <w:gridCol w:w="1501"/>
        <w:gridCol w:w="1114"/>
        <w:gridCol w:w="387"/>
        <w:gridCol w:w="467"/>
        <w:gridCol w:w="1034"/>
        <w:gridCol w:w="6"/>
        <w:gridCol w:w="15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3516" w:type="dxa"/>
            <w:gridSpan w:val="1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9" w:hRule="atLeast"/>
        </w:trPr>
        <w:tc>
          <w:tcPr>
            <w:tcW w:w="13516" w:type="dxa"/>
            <w:gridSpan w:val="16"/>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833"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项目名称</w:t>
            </w:r>
          </w:p>
        </w:tc>
        <w:tc>
          <w:tcPr>
            <w:tcW w:w="9683"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2024年妇女“两癌”救助资关于下达2024年河南省困难妇女“两癌”救助专项资金的通知豫财行[2024]6号金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833"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主管部门</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郸城县妇女联合会</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实施单位</w:t>
            </w:r>
          </w:p>
        </w:tc>
        <w:tc>
          <w:tcPr>
            <w:tcW w:w="3396"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郸城县妇女联合会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项目资金(万元)</w:t>
            </w:r>
          </w:p>
        </w:tc>
        <w:tc>
          <w:tcPr>
            <w:tcW w:w="14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15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15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Style w:val="22"/>
                <w:sz w:val="18"/>
                <w:szCs w:val="18"/>
                <w:lang w:val="en-US" w:eastAsia="zh-CN" w:bidi="ar"/>
              </w:rPr>
              <w:t>年度资金总额：</w:t>
            </w:r>
          </w:p>
        </w:tc>
        <w:tc>
          <w:tcPr>
            <w:tcW w:w="15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18</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5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财政拨款</w:t>
            </w:r>
          </w:p>
        </w:tc>
        <w:tc>
          <w:tcPr>
            <w:tcW w:w="15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5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财政专户管理资金</w:t>
            </w:r>
          </w:p>
        </w:tc>
        <w:tc>
          <w:tcPr>
            <w:tcW w:w="15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49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单位资金</w:t>
            </w:r>
          </w:p>
        </w:tc>
        <w:tc>
          <w:tcPr>
            <w:tcW w:w="15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2715"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3572"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资金管理情况</w:t>
            </w:r>
          </w:p>
        </w:tc>
        <w:tc>
          <w:tcPr>
            <w:tcW w:w="3009" w:type="dxa"/>
            <w:gridSpan w:val="4"/>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628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情况说明</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分值（20）</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502"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09" w:type="dxa"/>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安排科学性</w:t>
            </w:r>
          </w:p>
        </w:tc>
        <w:tc>
          <w:tcPr>
            <w:tcW w:w="628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从完整性、规范性、合理性进行审核，严格绩效管理，提升资金安排科学性。</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2"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09" w:type="dxa"/>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拨付合规性</w:t>
            </w:r>
          </w:p>
        </w:tc>
        <w:tc>
          <w:tcPr>
            <w:tcW w:w="628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严格按照财务管理制度的要求支出，资金的拨付有完整的审批程序和手续，符合项目预算批复或合同规定的用途。</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2"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09" w:type="dxa"/>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使用规范性</w:t>
            </w:r>
          </w:p>
        </w:tc>
        <w:tc>
          <w:tcPr>
            <w:tcW w:w="628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无超标列支相关费用，专款专用，不存在截留、挤占、挪用、虚列支出等情况，票据合法合规，财务票证资料较齐全并及时归档。</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2"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3009" w:type="dxa"/>
            <w:gridSpan w:val="4"/>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预算绩效管理情况</w:t>
            </w:r>
          </w:p>
        </w:tc>
        <w:tc>
          <w:tcPr>
            <w:tcW w:w="6287"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推动建立定期分析制度，强化绩效管理入脑入心，督促调整和完善改进，不断推进我院绩效管理工作全面落实，保障项目的高效开展。</w:t>
            </w:r>
          </w:p>
        </w:tc>
        <w:tc>
          <w:tcPr>
            <w:tcW w:w="854"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4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2" w:type="dxa"/>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82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年度总体目标</w:t>
            </w:r>
          </w:p>
        </w:tc>
        <w:tc>
          <w:tcPr>
            <w:tcW w:w="5724"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6968" w:type="dxa"/>
            <w:gridSpan w:val="8"/>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2" w:hRule="atLeast"/>
        </w:trPr>
        <w:tc>
          <w:tcPr>
            <w:tcW w:w="82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724" w:type="dxa"/>
            <w:gridSpan w:val="7"/>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进一步关注贫困母亲弱势群体，帮助贫困母亲改善贫困条件，提高生活质量，切实发挥好妇联组织作用。</w:t>
            </w:r>
          </w:p>
        </w:tc>
        <w:tc>
          <w:tcPr>
            <w:tcW w:w="6968" w:type="dxa"/>
            <w:gridSpan w:val="8"/>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进一步关注贫困母亲弱势群体，帮助贫困母亲改善贫困条件，提高生活质量，切实发挥好妇联组织作用。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3516" w:type="dxa"/>
            <w:gridSpan w:val="16"/>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3516" w:type="dxa"/>
            <w:gridSpan w:val="16"/>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15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实际值完成值</w:t>
            </w:r>
          </w:p>
        </w:tc>
        <w:tc>
          <w:tcPr>
            <w:tcW w:w="15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150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成本指标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经济成本指标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总成本</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18万元</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20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数量指标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救助发放人数</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=18人</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18人</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质量指标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发放足额率</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30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宋体" w:hAnsi="宋体" w:eastAsia="宋体" w:cs="宋体"/>
                <w:i w:val="0"/>
                <w:iCs w:val="0"/>
                <w:color w:val="000000"/>
                <w:sz w:val="18"/>
                <w:szCs w:val="18"/>
                <w:u w:val="none"/>
                <w:lang w:val="en-US"/>
              </w:rPr>
            </w:pPr>
            <w:r>
              <w:rPr>
                <w:rFonts w:hint="eastAsia" w:ascii="宋体" w:hAnsi="宋体" w:eastAsia="宋体" w:cs="宋体"/>
                <w:i w:val="0"/>
                <w:iCs w:val="0"/>
                <w:color w:val="000000"/>
                <w:kern w:val="0"/>
                <w:sz w:val="18"/>
                <w:szCs w:val="18"/>
                <w:u w:val="none"/>
                <w:lang w:val="en-US" w:eastAsia="zh-CN" w:bidi="ar"/>
              </w:rPr>
              <w:t>30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时效指标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发放及时性</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及时</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社会效益指标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关爱贫困妇女，体现党的温暖</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持续</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服务对象满意度指标</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505"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150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50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50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100</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2"/>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tbl>
      <w:tblPr>
        <w:tblStyle w:val="2"/>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95"/>
        <w:gridCol w:w="1494"/>
        <w:gridCol w:w="2288"/>
        <w:gridCol w:w="564"/>
        <w:gridCol w:w="556"/>
        <w:gridCol w:w="1389"/>
        <w:gridCol w:w="2095"/>
        <w:gridCol w:w="1434"/>
        <w:gridCol w:w="624"/>
        <w:gridCol w:w="791"/>
        <w:gridCol w:w="981"/>
        <w:gridCol w:w="76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5000" w:type="pct"/>
            <w:gridSpan w:val="12"/>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2025年8月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756" w:type="pct"/>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部门（单位）名称</w:t>
            </w:r>
          </w:p>
        </w:tc>
        <w:tc>
          <w:tcPr>
            <w:tcW w:w="3243" w:type="pct"/>
            <w:gridSpan w:val="9"/>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郸城县妇女联合会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部门整体支出情况(万元)</w:t>
            </w: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c>
          <w:tcPr>
            <w:tcW w:w="3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年初预算数</w:t>
            </w:r>
          </w:p>
        </w:tc>
        <w:tc>
          <w:tcPr>
            <w:tcW w:w="4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全年预算数</w:t>
            </w:r>
          </w:p>
        </w:tc>
        <w:tc>
          <w:tcPr>
            <w:tcW w:w="12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全年执行数</w:t>
            </w:r>
          </w:p>
        </w:tc>
        <w:tc>
          <w:tcPr>
            <w:tcW w:w="49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执行率</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部门预算总额</w:t>
            </w:r>
          </w:p>
        </w:tc>
        <w:tc>
          <w:tcPr>
            <w:tcW w:w="3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67.97</w:t>
            </w:r>
          </w:p>
        </w:tc>
        <w:tc>
          <w:tcPr>
            <w:tcW w:w="4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173.74</w:t>
            </w:r>
          </w:p>
        </w:tc>
        <w:tc>
          <w:tcPr>
            <w:tcW w:w="12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173.74</w:t>
            </w:r>
          </w:p>
        </w:tc>
        <w:tc>
          <w:tcPr>
            <w:tcW w:w="49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97.08%</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资金来源：（1）财政拨款</w:t>
            </w:r>
          </w:p>
        </w:tc>
        <w:tc>
          <w:tcPr>
            <w:tcW w:w="3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67.97</w:t>
            </w:r>
          </w:p>
        </w:tc>
        <w:tc>
          <w:tcPr>
            <w:tcW w:w="4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173.74</w:t>
            </w:r>
          </w:p>
        </w:tc>
        <w:tc>
          <w:tcPr>
            <w:tcW w:w="12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sz w:val="18"/>
                <w:szCs w:val="18"/>
                <w:u w:val="none"/>
              </w:rPr>
              <w:t>173.74</w:t>
            </w:r>
          </w:p>
        </w:tc>
        <w:tc>
          <w:tcPr>
            <w:tcW w:w="49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96.41%</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（2）财政专户管理资金</w:t>
            </w:r>
          </w:p>
        </w:tc>
        <w:tc>
          <w:tcPr>
            <w:tcW w:w="3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9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33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（3）单位资金</w:t>
            </w:r>
          </w:p>
        </w:tc>
        <w:tc>
          <w:tcPr>
            <w:tcW w:w="395"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8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1243"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49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34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2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w:t>
            </w:r>
          </w:p>
        </w:tc>
        <w:tc>
          <w:tcPr>
            <w:tcW w:w="2219" w:type="pct"/>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预期目标</w:t>
            </w: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2219" w:type="pct"/>
            <w:gridSpan w:val="5"/>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维护妇女、儿童合法权益；加强妇联自身建设，增强妇女凝聚力，落实县委县政府所布置的各项工作。</w:t>
            </w:r>
          </w:p>
        </w:tc>
        <w:tc>
          <w:tcPr>
            <w:tcW w:w="2357" w:type="pct"/>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合理维护妇女、儿童合法权益；加强了妇联自身建设，增强妇女组织凝聚力；圆满完成县委县政府所布置的各项工作任务。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任务名称</w:t>
            </w:r>
          </w:p>
        </w:tc>
        <w:tc>
          <w:tcPr>
            <w:tcW w:w="1692"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主要内容</w:t>
            </w: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任务1.开展“三八节、六一儿童节活动，更好的服务于广大妇女儿童；</w:t>
            </w:r>
          </w:p>
        </w:tc>
        <w:tc>
          <w:tcPr>
            <w:tcW w:w="1692"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开展相关活动</w:t>
            </w: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94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任务2.开展”两癌“救助；</w:t>
            </w:r>
          </w:p>
        </w:tc>
        <w:tc>
          <w:tcPr>
            <w:tcW w:w="1692" w:type="pct"/>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救助低收入”两癌“患病妇女</w:t>
            </w:r>
          </w:p>
        </w:tc>
        <w:tc>
          <w:tcPr>
            <w:tcW w:w="2357"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推进、提升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6" w:hRule="atLeast"/>
        </w:trPr>
        <w:tc>
          <w:tcPr>
            <w:tcW w:w="5000" w:type="pct"/>
            <w:gridSpan w:val="1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一级指标</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二级指标</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三级指标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年度指标值</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实际完成值</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分值</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得分</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偏差度</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投入管理指标</w:t>
            </w: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工作目标管理</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年度履职目标相关性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相关</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工作任务科学性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科学</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绩效指标合理性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合理</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预算和财务管理</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预算编制完整性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完整</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专项资金细化率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预算调整率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结转结余率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2.92%</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“三公经费”控制率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政府采购执行率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决算真实性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真实</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资金使用合规性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合规</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管理制度健全性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预决算信息公开性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公开</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资产管理规范性</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规范</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绩效管理</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绩效目标编制完成率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绩效监控完成率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绩效自评完成率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部门绩效评价完成率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评价结果应用率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产出指标</w:t>
            </w:r>
          </w:p>
        </w:tc>
        <w:tc>
          <w:tcPr>
            <w:tcW w:w="52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重点工作任务完成</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重点任务2完成率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重点任务1完成率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履职目标实现率</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效益指标</w:t>
            </w: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履职效益</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积极引领全县各界各行业妇女主动融入经济社会发展大局</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422"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52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满意度</w:t>
            </w:r>
          </w:p>
        </w:tc>
        <w:tc>
          <w:tcPr>
            <w:tcW w:w="100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群众满意度</w:t>
            </w:r>
          </w:p>
        </w:tc>
        <w:tc>
          <w:tcPr>
            <w:tcW w:w="68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w:t>
            </w: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3380"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总分</w:t>
            </w:r>
          </w:p>
        </w:tc>
        <w:tc>
          <w:tcPr>
            <w:tcW w:w="505"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20" w:type="pc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279" w:type="pct"/>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c>
          <w:tcPr>
            <w:tcW w:w="61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8"/>
                <w:szCs w:val="18"/>
                <w:u w:val="none"/>
              </w:rPr>
            </w:pPr>
          </w:p>
        </w:tc>
      </w:tr>
    </w:tbl>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sectPr>
          <w:pgSz w:w="16838" w:h="11906" w:orient="landscape"/>
          <w:pgMar w:top="1803" w:right="1440" w:bottom="1803" w:left="1440" w:header="850" w:footer="992" w:gutter="0"/>
          <w:pgNumType w:fmt="numberInDash"/>
          <w:cols w:space="720" w:num="1"/>
          <w:docGrid w:type="lines" w:linePitch="317" w:charSpace="0"/>
        </w:sect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1440" w:right="1803" w:bottom="1440" w:left="1803" w:header="850" w:footer="992" w:gutter="0"/>
          <w:pgNumType w:fmt="numberInDash"/>
          <w:cols w:space="720" w:num="1"/>
          <w:docGrid w:type="lines" w:linePitch="317" w:charSpace="0"/>
        </w:sectPr>
      </w:pPr>
      <w:r>
        <w:rPr>
          <w:rFonts w:hint="eastAsia" w:ascii="仿宋" w:hAnsi="仿宋" w:eastAsia="仿宋" w:cs="仿宋"/>
          <w:kern w:val="0"/>
          <w:sz w:val="32"/>
          <w:szCs w:val="32"/>
          <w:lang w:val="en-US" w:eastAsia="zh-CN"/>
        </w:rPr>
        <w:t>我部门2024年度未开展预算项目重点绩效评价，财政部门也未选取我部门2024年度预算项目开展财政重点评价。</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altName w:val="方正书宋_GBK"/>
    <w:panose1 w:val="02010600030101010101"/>
    <w:charset w:val="7A"/>
    <w:family w:val="auto"/>
    <w:pitch w:val="default"/>
    <w:sig w:usb0="00000000" w:usb1="00000000" w:usb2="00000006" w:usb3="00000000" w:csb0="00040001"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hdrShapeDefaults>
    <o:shapelayout v:ext="edit">
      <o:idmap v:ext="edit" data="3,4"/>
    </o:shapelayout>
  </w:hdrShapeDefaults>
  <w:compat>
    <w:spaceForUL/>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B51222A"/>
    <w:rsid w:val="4F354B5F"/>
    <w:rsid w:val="5D4871A2"/>
    <w:rsid w:val="6EE2623A"/>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semiHidden/>
    <w:qFormat/>
    <w:uiPriority w:val="0"/>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 w:type="character" w:customStyle="1" w:styleId="22">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33</Pages>
  <Words>2819</Words>
  <Characters>4554</Characters>
  <Lines>1</Lines>
  <Paragraphs>1</Paragraphs>
  <TotalTime>11</TotalTime>
  <ScaleCrop>false</ScaleCrop>
  <LinksUpToDate>false</LinksUpToDate>
  <CharactersWithSpaces>4916</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2007-11-29T11:41:00Z</dcterms:created>
  <dc:creator>管理者</dc:creator>
  <cp:lastModifiedBy>dcczj</cp:lastModifiedBy>
  <cp:lastPrinted>2025-07-31T16:04:00Z</cp:lastPrinted>
  <dcterms:modified xsi:type="dcterms:W3CDTF">2025-12-05T18:39:44Z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eyJoZGlkIjoiMmNhOTA5MmFjZmMyNmFmODA0OGNmY2NmYTMwZGFkNjMiLCJ1c2VySWQiOiI2NDAzMTI4OTAifQ==</vt:lpwstr>
  </property>
  <property fmtid="{D5CDD505-2E9C-101B-9397-08002B2CF9AE}" pid="4" name="ICV">
    <vt:lpwstr>CE0CF34C4A1DF11270B63269721557AD</vt:lpwstr>
  </property>
</Properties>
</file>