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周口市生态环境局郸城分局部门决算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周口市生态环境局郸城分局概况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周口市生态环境局郸城分局概况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贯彻执行国家和省、市、县生态环境保护方针、政策和法律、法规；负责环境问题的统筹协调和监督管理；负责监督管理县（市、区）政府减排目标的落实；负责按规定权限，审批、核准规划内及年度计划规模内固定资产投资项目；在市生态环境局授权范围内承担部分行政许可具体工作；负责县（市、区）环境污染防治的监督管理；负责生态环境准入的监督管理；负责生态环境监测工作；负责污染源自动监控设施监督管理；负责生态环境科技与标准工作；负责核与辐射安全的监督管理；指导监督自然生态保护修复工作；统一负责生态环境监督执法；组织协调生态环境宣传教育工作；完成周口市生态环境局和县委、县政府交办的其他工作。</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周口市生态环境局郸城分局内设机构</w:t>
      </w:r>
      <w:r>
        <w:rPr>
          <w:rFonts w:hint="eastAsia" w:ascii="仿宋_GB2312" w:hAnsi="宋体" w:eastAsia="仿宋_GB2312" w:cs="Courier New"/>
          <w:kern w:val="0"/>
          <w:sz w:val="32"/>
          <w:szCs w:val="32"/>
          <w:lang w:val="en-US" w:eastAsia="zh-CN"/>
        </w:rPr>
        <w:t>6</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办公室、人事股、法制宣教股、综合股、审批服务股、机关党建办公室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从决算单位构成看，纳入本部门2024年度部门决算编制范围的单位共一个：周口市生态环境局郸城分局本级，无二级决算单位。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412"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keepNext w:val="0"/>
              <w:keepLines w:val="0"/>
              <w:pageBreakBefore w:val="0"/>
              <w:kinsoku/>
              <w:wordWrap/>
              <w:overflowPunct/>
              <w:topLinePunct w:val="0"/>
              <w:autoSpaceDE/>
              <w:autoSpaceDN/>
              <w:bidi w:val="0"/>
              <w:adjustRightInd/>
              <w:rPr>
                <w:sz w:val="18"/>
                <w:szCs w:val="18"/>
              </w:rPr>
            </w:pPr>
          </w:p>
        </w:tc>
        <w:tc>
          <w:tcPr>
            <w:tcW w:w="2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keepNext w:val="0"/>
              <w:keepLines w:val="0"/>
              <w:pageBreakBefore w:val="0"/>
              <w:kinsoku/>
              <w:wordWrap/>
              <w:overflowPunct/>
              <w:topLinePunct w:val="0"/>
              <w:autoSpaceDE/>
              <w:autoSpaceDN/>
              <w:bidi w:val="0"/>
              <w:adjustRightInd/>
              <w:rPr>
                <w:sz w:val="18"/>
                <w:szCs w:val="18"/>
              </w:rPr>
            </w:pPr>
          </w:p>
        </w:tc>
        <w:tc>
          <w:tcPr>
            <w:tcW w:w="248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rPr>
                <w:sz w:val="18"/>
                <w:szCs w:val="18"/>
              </w:rPr>
            </w:pP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keepNext w:val="0"/>
              <w:keepLines w:val="0"/>
              <w:pageBreakBefore w:val="0"/>
              <w:kinsoku/>
              <w:wordWrap/>
              <w:overflowPunct/>
              <w:topLinePunct w:val="0"/>
              <w:autoSpaceDE/>
              <w:autoSpaceDN/>
              <w:bidi w:val="0"/>
              <w:adjustRightInd/>
              <w:rPr>
                <w:sz w:val="18"/>
                <w:szCs w:val="18"/>
              </w:rPr>
            </w:pP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33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3513"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40"/>
        <w:gridCol w:w="2009"/>
        <w:gridCol w:w="1000"/>
        <w:gridCol w:w="951"/>
        <w:gridCol w:w="820"/>
        <w:gridCol w:w="820"/>
        <w:gridCol w:w="820"/>
        <w:gridCol w:w="82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2949"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10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本年收入合计</w:t>
            </w:r>
          </w:p>
        </w:tc>
        <w:tc>
          <w:tcPr>
            <w:tcW w:w="951"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上级补助收入</w:t>
            </w:r>
          </w:p>
        </w:tc>
        <w:tc>
          <w:tcPr>
            <w:tcW w:w="8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事业收入</w:t>
            </w:r>
          </w:p>
        </w:tc>
        <w:tc>
          <w:tcPr>
            <w:tcW w:w="8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附属单位上缴收入</w:t>
            </w:r>
          </w:p>
        </w:tc>
        <w:tc>
          <w:tcPr>
            <w:tcW w:w="846"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2009"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10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51"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009"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0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51"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009"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0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51"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2949"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10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951"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82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82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846"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2949"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节能环保支出</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环境保护管理事务</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343.01</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343.01</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2110102</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一般行政管理事务</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298.02</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298.02</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2110104</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生态环境保护宣传</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44.99</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44.99</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污染防治</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57.16</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57.16</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2110301</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大气</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12.30</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12.30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2110302</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水体</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44.86</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44.86</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21104</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自然生态保护</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4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2110402</w:t>
            </w:r>
          </w:p>
        </w:tc>
        <w:tc>
          <w:tcPr>
            <w:tcW w:w="2009"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农村环境保护</w:t>
            </w:r>
          </w:p>
        </w:tc>
        <w:tc>
          <w:tcPr>
            <w:tcW w:w="10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951"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3513"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04"/>
        <w:gridCol w:w="2776"/>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2776"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76"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76"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4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社会保障和就业支出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20805</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行政事业单位养老支出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62"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2080505</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20899</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2089999</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21011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行政事业单位医疗</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2101101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行政单位医疗</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2101102</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事业单位医疗</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2101199</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其他行政事业单位医疗支出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节能环保支出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环境保护管理事务</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343.01</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343.01</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行政运行</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2110102</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一般行政管理事务</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298.02</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298.02</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2110104</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生态环境保护宣传</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44.99</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44.99</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污染防治</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57.16</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57.16</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大气</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12.30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12.30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2110302</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水体</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44.86</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44.86</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21104</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自然生态保护</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2110402</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农村环境保护</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221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住房保障支出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22102</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住房改革支出</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4"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2210201</w:t>
            </w:r>
          </w:p>
        </w:tc>
        <w:tc>
          <w:tcPr>
            <w:tcW w:w="2776"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住房公积金</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412"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772"/>
        <w:gridCol w:w="500"/>
        <w:gridCol w:w="1168"/>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金额</w:t>
            </w:r>
          </w:p>
        </w:tc>
        <w:tc>
          <w:tcPr>
            <w:tcW w:w="2772"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5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行次</w:t>
            </w:r>
          </w:p>
        </w:tc>
        <w:tc>
          <w:tcPr>
            <w:tcW w:w="116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72"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5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8"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44"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277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500" w:type="dxa"/>
            <w:vAlign w:val="center"/>
          </w:tcPr>
          <w:p>
            <w:pPr>
              <w:keepNext w:val="0"/>
              <w:keepLines w:val="0"/>
              <w:pageBreakBefore w:val="0"/>
              <w:kinsoku/>
              <w:wordWrap/>
              <w:overflowPunct/>
              <w:topLinePunct w:val="0"/>
              <w:autoSpaceDE/>
              <w:autoSpaceDN/>
              <w:bidi w:val="0"/>
              <w:adjustRightInd/>
              <w:rPr>
                <w:sz w:val="18"/>
                <w:szCs w:val="18"/>
              </w:rPr>
            </w:pPr>
          </w:p>
        </w:tc>
        <w:tc>
          <w:tcPr>
            <w:tcW w:w="116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一、一般公共服务支出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33</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二、外交支出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34</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三、国防支出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35</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四、公共安全支出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36</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五、教育支出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37</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六、科学技术支出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38</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七、文化旅游体育与传媒支出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39</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八、社会保障和就业支出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40</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九、卫生健康支出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41</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十、节能环保支出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42</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十一、城乡社区支出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43</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十二、农林水支出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44</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十三、交通运输支出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45</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十四、资源勘探工业信息等支出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46</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十五、商业服务业等支出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47</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十六、金融支出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48</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十七、援助其他地区支出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49</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十八、自然资源海洋气象等支出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50</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十九、住房保障支出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51</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二十、粮油物资储备支出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52</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二十一、国有资本经营预算支出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53</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二十二、灾害防治及应急管理支出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54</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二十三、其他支出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55</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二十四、债务还本支出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56</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二十五、债务付息支出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57</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rPr>
                <w:sz w:val="18"/>
                <w:szCs w:val="18"/>
              </w:rPr>
            </w:pP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二十六、抗疫特别国债安排的支出</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58</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277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本年支出合计</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59</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772"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年末财政拨款结转和结余</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60</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772" w:type="dxa"/>
            <w:vAlign w:val="center"/>
          </w:tcPr>
          <w:p>
            <w:pPr>
              <w:keepNext w:val="0"/>
              <w:keepLines w:val="0"/>
              <w:pageBreakBefore w:val="0"/>
              <w:kinsoku/>
              <w:wordWrap/>
              <w:overflowPunct/>
              <w:topLinePunct w:val="0"/>
              <w:autoSpaceDE/>
              <w:autoSpaceDN/>
              <w:bidi w:val="0"/>
              <w:adjustRightInd/>
              <w:rPr>
                <w:sz w:val="18"/>
                <w:szCs w:val="18"/>
              </w:rPr>
            </w:pP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61</w:t>
            </w:r>
          </w:p>
        </w:tc>
        <w:tc>
          <w:tcPr>
            <w:tcW w:w="1168"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4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772" w:type="dxa"/>
            <w:vAlign w:val="center"/>
          </w:tcPr>
          <w:p>
            <w:pPr>
              <w:keepNext w:val="0"/>
              <w:keepLines w:val="0"/>
              <w:pageBreakBefore w:val="0"/>
              <w:kinsoku/>
              <w:wordWrap/>
              <w:overflowPunct/>
              <w:topLinePunct w:val="0"/>
              <w:autoSpaceDE/>
              <w:autoSpaceDN/>
              <w:bidi w:val="0"/>
              <w:adjustRightInd/>
              <w:rPr>
                <w:sz w:val="18"/>
                <w:szCs w:val="18"/>
              </w:rPr>
            </w:pP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62</w:t>
            </w:r>
          </w:p>
        </w:tc>
        <w:tc>
          <w:tcPr>
            <w:tcW w:w="1168"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4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772" w:type="dxa"/>
            <w:vAlign w:val="center"/>
          </w:tcPr>
          <w:p>
            <w:pPr>
              <w:keepNext w:val="0"/>
              <w:keepLines w:val="0"/>
              <w:pageBreakBefore w:val="0"/>
              <w:kinsoku/>
              <w:wordWrap/>
              <w:overflowPunct/>
              <w:topLinePunct w:val="0"/>
              <w:autoSpaceDE/>
              <w:autoSpaceDN/>
              <w:bidi w:val="0"/>
              <w:adjustRightInd/>
              <w:rPr>
                <w:sz w:val="18"/>
                <w:szCs w:val="18"/>
              </w:rPr>
            </w:pP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63</w:t>
            </w:r>
          </w:p>
        </w:tc>
        <w:tc>
          <w:tcPr>
            <w:tcW w:w="1168"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00" w:type="dxa"/>
            <w:vAlign w:val="center"/>
          </w:tcPr>
          <w:p>
            <w:pPr>
              <w:keepNext w:val="0"/>
              <w:keepLines w:val="0"/>
              <w:pageBreakBefore w:val="0"/>
              <w:kinsoku/>
              <w:wordWrap/>
              <w:overflowPunct/>
              <w:topLinePunct w:val="0"/>
              <w:autoSpaceDE/>
              <w:autoSpaceDN/>
              <w:bidi w:val="0"/>
              <w:adjustRightInd/>
              <w:rPr>
                <w:sz w:val="18"/>
                <w:szCs w:val="18"/>
              </w:rPr>
            </w:pPr>
          </w:p>
        </w:tc>
        <w:tc>
          <w:tcPr>
            <w:tcW w:w="134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2772"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i w:val="0"/>
                <w:color w:val="000000"/>
                <w:sz w:val="18"/>
                <w:szCs w:val="18"/>
              </w:rPr>
              <w:t>总计</w:t>
            </w:r>
          </w:p>
        </w:tc>
        <w:tc>
          <w:tcPr>
            <w:tcW w:w="50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64</w:t>
            </w:r>
          </w:p>
        </w:tc>
        <w:tc>
          <w:tcPr>
            <w:tcW w:w="116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30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3513"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37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2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37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4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426"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社会保障和就业支出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20805</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行政事业单位养老支出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2080505</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20899</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2089999</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21011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行政事业单位医疗</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2101101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行政单位医疗</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节能环保支出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5,588.17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环境保护管理事务</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343.01</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343.01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行政运行</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2110102</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一般行政管理事务</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298.02</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298.02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2110104</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生态环境保护宣传</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44.99</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44.99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污染防治</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57.16</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57.16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大气</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12.30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12.30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2110302</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水体</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44.86</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44.86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2110307</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土壤</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21104</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自然生态保护</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2110402</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农村环境保护</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5,188.00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221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住房保障支出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22102</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住房改革支出</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2210201</w:t>
            </w:r>
          </w:p>
        </w:tc>
        <w:tc>
          <w:tcPr>
            <w:tcW w:w="376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住房公积金</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4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412"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80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7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964"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81"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41"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rPr>
                <w:sz w:val="18"/>
                <w:szCs w:val="18"/>
              </w:rPr>
            </w:pPr>
          </w:p>
        </w:tc>
        <w:tc>
          <w:tcPr>
            <w:tcW w:w="2780" w:type="dxa"/>
            <w:vAlign w:val="center"/>
          </w:tcPr>
          <w:p>
            <w:pPr>
              <w:keepNext w:val="0"/>
              <w:keepLines w:val="0"/>
              <w:pageBreakBefore w:val="0"/>
              <w:kinsoku/>
              <w:wordWrap/>
              <w:overflowPunct/>
              <w:topLinePunct w:val="0"/>
              <w:autoSpaceDE/>
              <w:autoSpaceDN/>
              <w:bidi w:val="0"/>
              <w:adjustRightInd/>
              <w:rPr>
                <w:sz w:val="18"/>
                <w:szCs w:val="18"/>
              </w:rPr>
            </w:pP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keepNext w:val="0"/>
              <w:keepLines w:val="0"/>
              <w:pageBreakBefore w:val="0"/>
              <w:kinsoku/>
              <w:wordWrap/>
              <w:overflowPunct/>
              <w:topLinePunct w:val="0"/>
              <w:autoSpaceDE/>
              <w:autoSpaceDN/>
              <w:bidi w:val="0"/>
              <w:adjustRightInd/>
              <w:rPr>
                <w:sz w:val="18"/>
                <w:szCs w:val="18"/>
              </w:rPr>
            </w:pPr>
          </w:p>
        </w:tc>
        <w:tc>
          <w:tcPr>
            <w:tcW w:w="2380" w:type="dxa"/>
            <w:vAlign w:val="center"/>
          </w:tcPr>
          <w:p>
            <w:pPr>
              <w:keepNext w:val="0"/>
              <w:keepLines w:val="0"/>
              <w:pageBreakBefore w:val="0"/>
              <w:kinsoku/>
              <w:wordWrap/>
              <w:overflowPunct/>
              <w:topLinePunct w:val="0"/>
              <w:autoSpaceDE/>
              <w:autoSpaceDN/>
              <w:bidi w:val="0"/>
              <w:adjustRightInd/>
              <w:rPr>
                <w:sz w:val="18"/>
                <w:szCs w:val="18"/>
              </w:rPr>
            </w:pP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800" w:type="dxa"/>
            <w:vAlign w:val="center"/>
          </w:tcPr>
          <w:p>
            <w:pPr>
              <w:keepNext w:val="0"/>
              <w:keepLines w:val="0"/>
              <w:pageBreakBefore w:val="0"/>
              <w:kinsoku/>
              <w:wordWrap/>
              <w:overflowPunct/>
              <w:topLinePunct w:val="0"/>
              <w:autoSpaceDE/>
              <w:autoSpaceDN/>
              <w:bidi w:val="0"/>
              <w:adjustRightInd/>
              <w:rPr>
                <w:sz w:val="18"/>
                <w:szCs w:val="18"/>
              </w:rPr>
            </w:pPr>
          </w:p>
        </w:tc>
        <w:tc>
          <w:tcPr>
            <w:tcW w:w="2780" w:type="dxa"/>
            <w:vAlign w:val="center"/>
          </w:tcPr>
          <w:p>
            <w:pPr>
              <w:keepNext w:val="0"/>
              <w:keepLines w:val="0"/>
              <w:pageBreakBefore w:val="0"/>
              <w:kinsoku/>
              <w:wordWrap/>
              <w:overflowPunct/>
              <w:topLinePunct w:val="0"/>
              <w:autoSpaceDE/>
              <w:autoSpaceDN/>
              <w:bidi w:val="0"/>
              <w:adjustRightInd/>
              <w:rPr>
                <w:sz w:val="18"/>
                <w:szCs w:val="18"/>
              </w:rPr>
            </w:pP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keepNext w:val="0"/>
              <w:keepLines w:val="0"/>
              <w:pageBreakBefore w:val="0"/>
              <w:kinsoku/>
              <w:wordWrap/>
              <w:overflowPunct/>
              <w:topLinePunct w:val="0"/>
              <w:autoSpaceDE/>
              <w:autoSpaceDN/>
              <w:bidi w:val="0"/>
              <w:adjustRightInd/>
              <w:rPr>
                <w:sz w:val="18"/>
                <w:szCs w:val="18"/>
              </w:rPr>
            </w:pPr>
          </w:p>
        </w:tc>
        <w:tc>
          <w:tcPr>
            <w:tcW w:w="7720" w:type="dxa"/>
            <w:gridSpan w:val="5"/>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979"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功能分类</w:t>
            </w:r>
          </w:p>
          <w:p>
            <w:pPr>
              <w:keepNext w:val="0"/>
              <w:keepLines w:val="0"/>
              <w:pageBreakBefore w:val="0"/>
              <w:shd w:val="clear" w:color="auto" w:fill="auto"/>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4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3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58"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keepNext w:val="0"/>
              <w:keepLines w:val="0"/>
              <w:pageBreakBefore w:val="0"/>
              <w:kinsoku/>
              <w:wordWrap/>
              <w:overflowPunct/>
              <w:topLinePunct w:val="0"/>
              <w:autoSpaceDE/>
              <w:autoSpaceDN/>
              <w:bidi w:val="0"/>
              <w:adjustRightInd/>
              <w:rPr>
                <w:sz w:val="18"/>
                <w:szCs w:val="18"/>
              </w:rPr>
            </w:pPr>
          </w:p>
        </w:tc>
        <w:tc>
          <w:tcPr>
            <w:tcW w:w="4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80" w:type="dxa"/>
            <w:vAlign w:val="center"/>
          </w:tcPr>
          <w:p>
            <w:pPr>
              <w:keepNext w:val="0"/>
              <w:keepLines w:val="0"/>
              <w:pageBreakBefore w:val="0"/>
              <w:kinsoku/>
              <w:wordWrap/>
              <w:overflowPunct/>
              <w:topLinePunct w:val="0"/>
              <w:autoSpaceDE/>
              <w:autoSpaceDN/>
              <w:bidi w:val="0"/>
              <w:adjustRightInd/>
              <w:rPr>
                <w:sz w:val="18"/>
                <w:szCs w:val="18"/>
              </w:rPr>
            </w:pPr>
          </w:p>
        </w:tc>
        <w:tc>
          <w:tcPr>
            <w:tcW w:w="1358"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979"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55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55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8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215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keepNext w:val="0"/>
              <w:keepLines w:val="0"/>
              <w:pageBreakBefore w:val="0"/>
              <w:kinsoku/>
              <w:wordWrap/>
              <w:overflowPunct/>
              <w:topLinePunct w:val="0"/>
              <w:autoSpaceDE/>
              <w:autoSpaceDN/>
              <w:bidi w:val="0"/>
              <w:adjustRightInd/>
              <w:rPr>
                <w:sz w:val="18"/>
                <w:szCs w:val="18"/>
              </w:rPr>
            </w:pPr>
          </w:p>
        </w:tc>
        <w:tc>
          <w:tcPr>
            <w:tcW w:w="5580" w:type="dxa"/>
            <w:vAlign w:val="center"/>
          </w:tcPr>
          <w:p>
            <w:pPr>
              <w:keepNext w:val="0"/>
              <w:keepLines w:val="0"/>
              <w:pageBreakBefore w:val="0"/>
              <w:kinsoku/>
              <w:wordWrap/>
              <w:overflowPunct/>
              <w:topLinePunct w:val="0"/>
              <w:autoSpaceDE/>
              <w:autoSpaceDN/>
              <w:bidi w:val="0"/>
              <w:adjustRightInd/>
              <w:rPr>
                <w:sz w:val="18"/>
                <w:szCs w:val="18"/>
              </w:rPr>
            </w:pPr>
          </w:p>
        </w:tc>
        <w:tc>
          <w:tcPr>
            <w:tcW w:w="2180" w:type="dxa"/>
            <w:vAlign w:val="center"/>
          </w:tcPr>
          <w:p>
            <w:pPr>
              <w:keepNext w:val="0"/>
              <w:keepLines w:val="0"/>
              <w:pageBreakBefore w:val="0"/>
              <w:kinsoku/>
              <w:wordWrap/>
              <w:overflowPunct/>
              <w:topLinePunct w:val="0"/>
              <w:autoSpaceDE/>
              <w:autoSpaceDN/>
              <w:bidi w:val="0"/>
              <w:adjustRightInd/>
              <w:rPr>
                <w:sz w:val="18"/>
                <w:szCs w:val="18"/>
              </w:rPr>
            </w:pPr>
          </w:p>
        </w:tc>
        <w:tc>
          <w:tcPr>
            <w:tcW w:w="2180" w:type="dxa"/>
            <w:vAlign w:val="center"/>
          </w:tcPr>
          <w:p>
            <w:pPr>
              <w:keepNext w:val="0"/>
              <w:keepLines w:val="0"/>
              <w:pageBreakBefore w:val="0"/>
              <w:kinsoku/>
              <w:wordWrap/>
              <w:overflowPunct/>
              <w:topLinePunct w:val="0"/>
              <w:autoSpaceDE/>
              <w:autoSpaceDN/>
              <w:bidi w:val="0"/>
              <w:adjustRightInd/>
              <w:rPr>
                <w:sz w:val="18"/>
                <w:szCs w:val="18"/>
              </w:rPr>
            </w:pPr>
          </w:p>
        </w:tc>
        <w:tc>
          <w:tcPr>
            <w:tcW w:w="2158" w:type="dxa"/>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keepNext w:val="0"/>
              <w:keepLines w:val="0"/>
              <w:pageBreakBefore w:val="0"/>
              <w:kinsoku/>
              <w:wordWrap/>
              <w:overflowPunct/>
              <w:topLinePunct w:val="0"/>
              <w:autoSpaceDE/>
              <w:autoSpaceDN/>
              <w:bidi w:val="0"/>
              <w:adjustRightInd/>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keepNext w:val="0"/>
              <w:keepLines w:val="0"/>
              <w:pageBreakBefore w:val="0"/>
              <w:kinsoku/>
              <w:wordWrap/>
              <w:overflowPunct/>
              <w:topLinePunct w:val="0"/>
              <w:autoSpaceDE/>
              <w:autoSpaceDN/>
              <w:bidi w:val="0"/>
              <w:adjustRightInd/>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keepNext w:val="0"/>
              <w:keepLines w:val="0"/>
              <w:pageBreakBefore w:val="0"/>
              <w:kinsoku/>
              <w:wordWrap/>
              <w:overflowPunct/>
              <w:topLinePunct w:val="0"/>
              <w:autoSpaceDE/>
              <w:autoSpaceDN/>
              <w:bidi w:val="0"/>
              <w:adjustRightInd/>
              <w:jc w:val="left"/>
              <w:rPr>
                <w:sz w:val="18"/>
                <w:szCs w:val="18"/>
              </w:rPr>
            </w:pPr>
            <w:r>
              <w:rPr>
                <w:rFonts w:ascii="宋体" w:hAnsi="宋体" w:eastAsia="宋体" w:cs="宋体"/>
                <w:sz w:val="18"/>
                <w:szCs w:val="18"/>
              </w:rPr>
              <w:t>部门：周口市生态环境局郸城分局</w:t>
            </w:r>
          </w:p>
        </w:tc>
        <w:tc>
          <w:tcPr>
            <w:tcW w:w="2000" w:type="dxa"/>
          </w:tcPr>
          <w:p>
            <w:pPr>
              <w:keepNext w:val="0"/>
              <w:keepLines w:val="0"/>
              <w:pageBreakBefore w:val="0"/>
              <w:kinsoku/>
              <w:wordWrap/>
              <w:overflowPunct/>
              <w:topLinePunct w:val="0"/>
              <w:autoSpaceDE/>
              <w:autoSpaceDN/>
              <w:bidi w:val="0"/>
              <w:adjustRightInd/>
              <w:jc w:val="center"/>
              <w:rPr>
                <w:sz w:val="18"/>
                <w:szCs w:val="18"/>
              </w:rPr>
            </w:pPr>
            <w:r>
              <w:rPr>
                <w:rFonts w:ascii="宋体" w:hAnsi="宋体" w:eastAsia="宋体" w:cs="宋体"/>
                <w:sz w:val="18"/>
                <w:szCs w:val="18"/>
              </w:rPr>
              <w:t>2024年度</w:t>
            </w:r>
          </w:p>
        </w:tc>
        <w:tc>
          <w:tcPr>
            <w:tcW w:w="5979" w:type="dxa"/>
          </w:tcPr>
          <w:p>
            <w:pPr>
              <w:keepNext w:val="0"/>
              <w:keepLines w:val="0"/>
              <w:pageBreakBefore w:val="0"/>
              <w:kinsoku/>
              <w:wordWrap/>
              <w:overflowPunct/>
              <w:topLinePunct w:val="0"/>
              <w:autoSpaceDE/>
              <w:autoSpaceDN/>
              <w:bidi w:val="0"/>
              <w:adjustRightInd/>
              <w:jc w:val="right"/>
              <w:rPr>
                <w:rFonts w:hint="eastAsia" w:eastAsia="宋体"/>
                <w:sz w:val="18"/>
                <w:szCs w:val="18"/>
                <w:lang w:eastAsia="zh-CN"/>
              </w:rPr>
            </w:pPr>
            <w:r>
              <w:rPr>
                <w:rFonts w:hint="eastAsia" w:ascii="宋体" w:hAnsi="宋体" w:cs="宋体"/>
                <w:sz w:val="18"/>
                <w:szCs w:val="18"/>
                <w:lang w:eastAsia="zh-CN"/>
              </w:rPr>
              <w:t>金额单位：万元</w:t>
            </w:r>
          </w:p>
        </w:tc>
      </w:tr>
    </w:tbl>
    <w:p>
      <w:pPr>
        <w:keepNext w:val="0"/>
        <w:keepLines w:val="0"/>
        <w:pageBreakBefore w:val="0"/>
        <w:kinsoku/>
        <w:wordWrap/>
        <w:overflowPunct/>
        <w:topLinePunct w:val="0"/>
        <w:autoSpaceDE/>
        <w:autoSpaceDN/>
        <w:bidi w:val="0"/>
        <w:adjustRightInd/>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Merge w:val="continue"/>
            <w:vAlign w:val="center"/>
          </w:tcPr>
          <w:p>
            <w:pPr>
              <w:keepNext w:val="0"/>
              <w:keepLines w:val="0"/>
              <w:pageBreakBefore w:val="0"/>
              <w:kinsoku/>
              <w:wordWrap/>
              <w:overflowPunct/>
              <w:topLinePunct w:val="0"/>
              <w:autoSpaceDE/>
              <w:autoSpaceDN/>
              <w:bidi w:val="0"/>
              <w:adjustRightInd/>
              <w:rPr>
                <w:sz w:val="18"/>
                <w:szCs w:val="18"/>
              </w:rPr>
            </w:pP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keepNext w:val="0"/>
              <w:keepLines w:val="0"/>
              <w:pageBreakBefore w:val="0"/>
              <w:kinsoku/>
              <w:wordWrap/>
              <w:overflowPunct/>
              <w:topLinePunct w:val="0"/>
              <w:autoSpaceDE/>
              <w:autoSpaceDN/>
              <w:bidi w:val="0"/>
              <w:adjustRightInd/>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keepNext w:val="0"/>
              <w:keepLines w:val="0"/>
              <w:pageBreakBefore w:val="0"/>
              <w:kinsoku/>
              <w:wordWrap/>
              <w:overflowPunct/>
              <w:topLinePunct w:val="0"/>
              <w:autoSpaceDE/>
              <w:autoSpaceDN/>
              <w:bidi w:val="0"/>
              <w:adjustRightInd/>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keepNext w:val="0"/>
              <w:keepLines w:val="0"/>
              <w:pageBreakBefore w:val="0"/>
              <w:kinsoku/>
              <w:wordWrap/>
              <w:overflowPunct/>
              <w:topLinePunct w:val="0"/>
              <w:autoSpaceDE/>
              <w:autoSpaceDN/>
              <w:bidi w:val="0"/>
              <w:adjustRightInd/>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widowControl w:val="0"/>
        <w:kinsoku/>
        <w:wordWrap/>
        <w:overflowPunct/>
        <w:topLinePunct w:val="0"/>
        <w:autoSpaceDE/>
        <w:autoSpaceDN/>
        <w:bidi w:val="0"/>
        <w:adjustRightInd/>
        <w:snapToGrid/>
        <w:ind w:left="63" w:leftChars="30"/>
        <w:jc w:val="both"/>
        <w:textAlignment w:val="auto"/>
        <w:rPr>
          <w:rFonts w:hint="default"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 xml:space="preserve">说明：我部门没有“三公”经费预算，也没有“三公”经费支出，故本表无数据。 </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5588.17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与上年度相比，收、支总计各减少1299.78万元，下降18.87%，主要原因是：本年度我单位人员上划，减少人员经费支出。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5588.17</w:t>
      </w:r>
      <w:r>
        <w:rPr>
          <w:rFonts w:hint="eastAsia" w:ascii="仿宋_GB2312" w:hAnsi="仿宋_GB2312" w:eastAsia="仿宋_GB2312" w:cs="仿宋_GB2312"/>
          <w:sz w:val="32"/>
          <w:szCs w:val="32"/>
          <w:lang w:val="en-US" w:eastAsia="zh-CN"/>
        </w:rPr>
        <w:t>万元，其中：财政拨款收入5588.17万元，占100.00%。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5588.17</w:t>
      </w:r>
      <w:r>
        <w:rPr>
          <w:rFonts w:hint="eastAsia" w:ascii="仿宋_GB2312" w:hAnsi="仿宋_GB2312" w:eastAsia="仿宋_GB2312" w:cs="仿宋_GB2312"/>
          <w:sz w:val="32"/>
          <w:szCs w:val="32"/>
          <w:lang w:val="en-US" w:eastAsia="zh-CN"/>
        </w:rPr>
        <w:t>万元，其中：项目支出5588.17万元，占100.00%。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5588.17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与上年度相比，财政拨款收、支总计各减少1299.78万元，下降18.87%，主要原因是：本年度我单位人员上划，减少人员经费支出。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2024年度一般公共预算财政拨款支出5588.17万元，占支出合计的100.00%。与上年度相比，一般公共预算财政拨款支出减少1299.78万元，下降18.87%，主要原因是：本年度我单位人员上划，减少人员经费支出。</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年度一般公共预算财政拨款支出5588.17万元，主要用于以下方面：节能环保（类）支出5588.17万元，占100.00%。</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5588.17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5588.17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节能环保支出（类）环境保护管理事务（款）一般行政管理事务（项）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298.02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节能环保支出（类）环境保护管理事务（款）生态环境保护宣传（项）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44.99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节能环保支出（类）污染防治（款）大气（项）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12.30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节能环保支出（类）污染防治（款）水体（项）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44.86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该项根据当年的分配资金情况和项目情况进行申请，不在年初预算内。</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节能环保支出（类）自然生态保护（款）农村环境保护（项）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72.00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5188.00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，完成年初预算的7205.56%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本年我单位根据项目开展情况，年中追加该项资金预算。</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10辆，其中：省级领导干部用车0辆、主要领导干部用车0辆、机要通信用车0辆、应急保障车0辆、执法执勤用车0辆、特种专业技术用车0辆、离退休干部用车0辆、其他用车10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19</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19</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5588.17</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19</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98.56</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19</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Layout w:type="fixed"/>
        <w:tblCellMar>
          <w:top w:w="0" w:type="dxa"/>
          <w:left w:w="108" w:type="dxa"/>
          <w:bottom w:w="0" w:type="dxa"/>
          <w:right w:w="108" w:type="dxa"/>
        </w:tblCellMar>
      </w:tblPr>
      <w:tblGrid>
        <w:gridCol w:w="697"/>
        <w:gridCol w:w="655"/>
        <w:gridCol w:w="1280"/>
        <w:gridCol w:w="355"/>
        <w:gridCol w:w="1227"/>
        <w:gridCol w:w="559"/>
        <w:gridCol w:w="1786"/>
        <w:gridCol w:w="655"/>
        <w:gridCol w:w="1156"/>
        <w:gridCol w:w="1786"/>
        <w:gridCol w:w="640"/>
        <w:gridCol w:w="1021"/>
        <w:gridCol w:w="52"/>
        <w:gridCol w:w="937"/>
        <w:gridCol w:w="151"/>
        <w:gridCol w:w="1217"/>
      </w:tblGrid>
      <w:tr>
        <w:tblPrEx>
          <w:tblCellMar>
            <w:top w:w="0" w:type="dxa"/>
            <w:left w:w="108" w:type="dxa"/>
            <w:bottom w:w="0" w:type="dxa"/>
            <w:right w:w="108" w:type="dxa"/>
          </w:tblCellMar>
        </w:tblPrEx>
        <w:trPr>
          <w:trHeight w:val="540" w:hRule="atLeast"/>
        </w:trPr>
        <w:tc>
          <w:tcPr>
            <w:tcW w:w="5000" w:type="pct"/>
            <w:gridSpan w:val="1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项目支出绩效自评情况表</w:t>
            </w:r>
          </w:p>
        </w:tc>
      </w:tr>
      <w:tr>
        <w:tblPrEx>
          <w:tblCellMar>
            <w:top w:w="0" w:type="dxa"/>
            <w:left w:w="108" w:type="dxa"/>
            <w:bottom w:w="0" w:type="dxa"/>
            <w:right w:w="108" w:type="dxa"/>
          </w:tblCellMar>
        </w:tblPrEx>
        <w:trPr>
          <w:trHeight w:val="399" w:hRule="atLeast"/>
        </w:trPr>
        <w:tc>
          <w:tcPr>
            <w:tcW w:w="5000" w:type="pct"/>
            <w:gridSpan w:val="16"/>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lang w:bidi="ar"/>
              </w:rPr>
              <w:t>202</w:t>
            </w:r>
            <w:r>
              <w:rPr>
                <w:rFonts w:hint="eastAsia" w:ascii="宋体" w:hAnsi="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年8月</w:t>
            </w:r>
          </w:p>
        </w:tc>
      </w:tr>
      <w:tr>
        <w:tblPrEx>
          <w:tblCellMar>
            <w:top w:w="0" w:type="dxa"/>
            <w:left w:w="108" w:type="dxa"/>
            <w:bottom w:w="0" w:type="dxa"/>
            <w:right w:w="108" w:type="dxa"/>
          </w:tblCellMar>
        </w:tblPrEx>
        <w:trPr>
          <w:trHeight w:val="312" w:hRule="atLeast"/>
        </w:trPr>
        <w:tc>
          <w:tcPr>
            <w:tcW w:w="92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项目名称</w:t>
            </w:r>
          </w:p>
        </w:tc>
        <w:tc>
          <w:tcPr>
            <w:tcW w:w="4071" w:type="pct"/>
            <w:gridSpan w:val="13"/>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sz w:val="18"/>
                <w:szCs w:val="18"/>
              </w:rPr>
              <w:t>周口市财政局关于下达2023年中央农村环境整治资金的通知（周财预环【2023】12号）郸城县农村黑臭水体治理试点项目</w:t>
            </w:r>
          </w:p>
        </w:tc>
      </w:tr>
      <w:tr>
        <w:tblPrEx>
          <w:tblCellMar>
            <w:top w:w="0" w:type="dxa"/>
            <w:left w:w="108" w:type="dxa"/>
            <w:bottom w:w="0" w:type="dxa"/>
            <w:right w:w="108" w:type="dxa"/>
          </w:tblCellMar>
        </w:tblPrEx>
        <w:trPr>
          <w:trHeight w:val="312" w:hRule="atLeast"/>
        </w:trPr>
        <w:tc>
          <w:tcPr>
            <w:tcW w:w="92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主管部门</w:t>
            </w:r>
          </w:p>
        </w:tc>
        <w:tc>
          <w:tcPr>
            <w:tcW w:w="1616"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周口市生态环境局郸城分局</w:t>
            </w:r>
          </w:p>
        </w:tc>
        <w:tc>
          <w:tcPr>
            <w:tcW w:w="12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实施单位</w:t>
            </w:r>
          </w:p>
        </w:tc>
        <w:tc>
          <w:tcPr>
            <w:tcW w:w="1191"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周口市生态环境局郸城分局</w:t>
            </w:r>
          </w:p>
        </w:tc>
      </w:tr>
      <w:tr>
        <w:tblPrEx>
          <w:tblCellMar>
            <w:top w:w="0" w:type="dxa"/>
            <w:left w:w="108" w:type="dxa"/>
            <w:bottom w:w="0" w:type="dxa"/>
            <w:right w:w="108" w:type="dxa"/>
          </w:tblCellMar>
        </w:tblPrEx>
        <w:trPr>
          <w:trHeight w:val="312" w:hRule="atLeast"/>
        </w:trPr>
        <w:tc>
          <w:tcPr>
            <w:tcW w:w="2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项目资金(万元)</w:t>
            </w:r>
          </w:p>
        </w:tc>
        <w:tc>
          <w:tcPr>
            <w:tcW w:w="6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5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年初预算数</w:t>
            </w:r>
          </w:p>
        </w:tc>
        <w:tc>
          <w:tcPr>
            <w:tcW w:w="105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全年预算数</w:t>
            </w:r>
          </w:p>
        </w:tc>
        <w:tc>
          <w:tcPr>
            <w:tcW w:w="12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全年执行数</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分值</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执行率</w:t>
            </w:r>
          </w:p>
        </w:tc>
        <w:tc>
          <w:tcPr>
            <w:tcW w:w="4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得分</w:t>
            </w:r>
          </w:p>
        </w:tc>
      </w:tr>
      <w:tr>
        <w:tblPrEx>
          <w:tblCellMar>
            <w:top w:w="0" w:type="dxa"/>
            <w:left w:w="108" w:type="dxa"/>
            <w:bottom w:w="0" w:type="dxa"/>
            <w:right w:w="108" w:type="dxa"/>
          </w:tblCellMar>
        </w:tblPrEx>
        <w:trPr>
          <w:trHeight w:val="315"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Style w:val="23"/>
                <w:rFonts w:hint="default"/>
                <w:sz w:val="18"/>
                <w:szCs w:val="18"/>
                <w:lang w:bidi="ar"/>
              </w:rPr>
              <w:t>年度资金总额：</w:t>
            </w:r>
          </w:p>
        </w:tc>
        <w:tc>
          <w:tcPr>
            <w:tcW w:w="55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3388.00</w:t>
            </w:r>
          </w:p>
        </w:tc>
        <w:tc>
          <w:tcPr>
            <w:tcW w:w="105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eastAsia="zh-CN"/>
              </w:rPr>
            </w:pPr>
            <w:r>
              <w:rPr>
                <w:rFonts w:hint="eastAsia" w:ascii="宋体" w:hAnsi="宋体" w:cs="宋体"/>
                <w:color w:val="000000"/>
                <w:kern w:val="0"/>
                <w:sz w:val="18"/>
                <w:szCs w:val="18"/>
                <w:lang w:val="en-US" w:eastAsia="zh-CN" w:bidi="ar"/>
              </w:rPr>
              <w:t>3388.00</w:t>
            </w:r>
          </w:p>
        </w:tc>
        <w:tc>
          <w:tcPr>
            <w:tcW w:w="12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3388.00</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100.0%</w:t>
            </w:r>
          </w:p>
        </w:tc>
        <w:tc>
          <w:tcPr>
            <w:tcW w:w="4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10.00</w:t>
            </w:r>
          </w:p>
        </w:tc>
      </w:tr>
      <w:tr>
        <w:tblPrEx>
          <w:tblCellMar>
            <w:top w:w="0" w:type="dxa"/>
            <w:left w:w="108" w:type="dxa"/>
            <w:bottom w:w="0" w:type="dxa"/>
            <w:right w:w="108" w:type="dxa"/>
          </w:tblCellMar>
        </w:tblPrEx>
        <w:trPr>
          <w:trHeight w:val="312"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财政拨款</w:t>
            </w:r>
          </w:p>
        </w:tc>
        <w:tc>
          <w:tcPr>
            <w:tcW w:w="55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3388.00</w:t>
            </w:r>
          </w:p>
        </w:tc>
        <w:tc>
          <w:tcPr>
            <w:tcW w:w="105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3388.00</w:t>
            </w:r>
          </w:p>
        </w:tc>
        <w:tc>
          <w:tcPr>
            <w:tcW w:w="12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3388.00</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100.0%</w:t>
            </w:r>
          </w:p>
        </w:tc>
        <w:tc>
          <w:tcPr>
            <w:tcW w:w="4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r>
      <w:tr>
        <w:tblPrEx>
          <w:tblCellMar>
            <w:top w:w="0" w:type="dxa"/>
            <w:left w:w="108" w:type="dxa"/>
            <w:bottom w:w="0" w:type="dxa"/>
            <w:right w:w="108" w:type="dxa"/>
          </w:tblCellMar>
        </w:tblPrEx>
        <w:trPr>
          <w:trHeight w:val="312"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财政专户管理资金</w:t>
            </w:r>
          </w:p>
        </w:tc>
        <w:tc>
          <w:tcPr>
            <w:tcW w:w="55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105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12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r>
      <w:tr>
        <w:tblPrEx>
          <w:tblCellMar>
            <w:top w:w="0" w:type="dxa"/>
            <w:left w:w="108" w:type="dxa"/>
            <w:bottom w:w="0" w:type="dxa"/>
            <w:right w:w="108" w:type="dxa"/>
          </w:tblCellMar>
        </w:tblPrEx>
        <w:trPr>
          <w:trHeight w:val="312"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单位资金</w:t>
            </w:r>
          </w:p>
        </w:tc>
        <w:tc>
          <w:tcPr>
            <w:tcW w:w="55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105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126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r>
      <w:tr>
        <w:tblPrEx>
          <w:tblCellMar>
            <w:top w:w="0" w:type="dxa"/>
            <w:left w:w="108" w:type="dxa"/>
            <w:bottom w:w="0" w:type="dxa"/>
            <w:right w:w="108" w:type="dxa"/>
          </w:tblCellMar>
        </w:tblPrEx>
        <w:trPr>
          <w:trHeight w:val="312" w:hRule="atLeast"/>
        </w:trPr>
        <w:tc>
          <w:tcPr>
            <w:tcW w:w="2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资金管理情况</w:t>
            </w:r>
          </w:p>
        </w:tc>
        <w:tc>
          <w:tcPr>
            <w:tcW w:w="682"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2879"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情况说明</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分值（20）</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得分</w:t>
            </w:r>
          </w:p>
        </w:tc>
        <w:tc>
          <w:tcPr>
            <w:tcW w:w="429"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存在问题和改进措施</w:t>
            </w:r>
          </w:p>
        </w:tc>
      </w:tr>
      <w:tr>
        <w:tblPrEx>
          <w:tblCellMar>
            <w:top w:w="0" w:type="dxa"/>
            <w:left w:w="108" w:type="dxa"/>
            <w:bottom w:w="0" w:type="dxa"/>
            <w:right w:w="108" w:type="dxa"/>
          </w:tblCellMar>
        </w:tblPrEx>
        <w:trPr>
          <w:trHeight w:val="633"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安排科学性</w:t>
            </w:r>
          </w:p>
        </w:tc>
        <w:tc>
          <w:tcPr>
            <w:tcW w:w="2879"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本项目的预算编制经过科学论证，预算内容与项目内容匹配，预算额度测算依据充分，预算额度按照标准编制，预算确定的项目资金量与工作任务相匹配，预算安排科学合理。</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429"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拨付合规性</w:t>
            </w:r>
          </w:p>
        </w:tc>
        <w:tc>
          <w:tcPr>
            <w:tcW w:w="2879"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本项目的资金拨付有完整的审批程序和手续，未出现审批程序和手续不合规的情况。</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429"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使用规范性</w:t>
            </w:r>
          </w:p>
        </w:tc>
        <w:tc>
          <w:tcPr>
            <w:tcW w:w="2879"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本项目的资金使用符合国家财经法规和财务管理制度以及有关专项资金管理办法的规定，符合项目预算批复或合同规定的用途，不存在截留、挤占、挪用、虚列支出等情况。</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429"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82" w:type="pct"/>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预算绩效管理情况</w:t>
            </w:r>
          </w:p>
        </w:tc>
        <w:tc>
          <w:tcPr>
            <w:tcW w:w="2879"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本项目的资金已全部纳入预算绩效管理系统，完成了绩效目标设置、绩效监控、绩效自评价等预算绩效管理流程。</w:t>
            </w:r>
          </w:p>
        </w:tc>
        <w:tc>
          <w:tcPr>
            <w:tcW w:w="3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w:t>
            </w:r>
          </w:p>
        </w:tc>
        <w:tc>
          <w:tcPr>
            <w:tcW w:w="3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429" w:type="pct"/>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435" w:hRule="atLeast"/>
        </w:trPr>
        <w:tc>
          <w:tcPr>
            <w:tcW w:w="2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年度总体目标</w:t>
            </w:r>
          </w:p>
        </w:tc>
        <w:tc>
          <w:tcPr>
            <w:tcW w:w="229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预期目标</w:t>
            </w:r>
          </w:p>
        </w:tc>
        <w:tc>
          <w:tcPr>
            <w:tcW w:w="2455" w:type="pct"/>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实际完成情况</w:t>
            </w:r>
          </w:p>
        </w:tc>
      </w:tr>
      <w:tr>
        <w:tblPrEx>
          <w:tblCellMar>
            <w:top w:w="0" w:type="dxa"/>
            <w:left w:w="108" w:type="dxa"/>
            <w:bottom w:w="0" w:type="dxa"/>
            <w:right w:w="108" w:type="dxa"/>
          </w:tblCellMar>
        </w:tblPrEx>
        <w:trPr>
          <w:trHeight w:val="793" w:hRule="atLeast"/>
        </w:trPr>
        <w:tc>
          <w:tcPr>
            <w:tcW w:w="2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2298" w:type="pct"/>
            <w:gridSpan w:val="7"/>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sz w:val="18"/>
                <w:szCs w:val="18"/>
              </w:rPr>
              <w:t>周口市财政局关于下达2023年中央农村环境整治资金的通知（周财预环【2023】12号）郸城县农村黑臭水体治理试点项目</w:t>
            </w:r>
          </w:p>
        </w:tc>
        <w:tc>
          <w:tcPr>
            <w:tcW w:w="2455" w:type="pct"/>
            <w:gridSpan w:val="8"/>
            <w:tcBorders>
              <w:top w:val="single" w:color="000000" w:sz="4" w:space="0"/>
              <w:left w:val="single" w:color="000000" w:sz="4" w:space="0"/>
              <w:bottom w:val="single" w:color="000000" w:sz="4" w:space="0"/>
              <w:right w:val="single" w:color="000000" w:sz="4" w:space="0"/>
            </w:tcBorders>
            <w:shd w:val="clear" w:color="auto" w:fill="auto"/>
            <w:noWrap/>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sz w:val="18"/>
                <w:szCs w:val="18"/>
              </w:rPr>
              <w:t>周口市财政局关于下达2023年中央农村环境整治资金的通知（周财预环【2023】12号）郸城县农村黑臭水体治理试点项目</w:t>
            </w:r>
          </w:p>
        </w:tc>
      </w:tr>
      <w:tr>
        <w:tblPrEx>
          <w:tblCellMar>
            <w:top w:w="0" w:type="dxa"/>
            <w:left w:w="108" w:type="dxa"/>
            <w:bottom w:w="0" w:type="dxa"/>
            <w:right w:w="108" w:type="dxa"/>
          </w:tblCellMar>
        </w:tblPrEx>
        <w:trPr>
          <w:trHeight w:val="312" w:hRule="atLeast"/>
        </w:trPr>
        <w:tc>
          <w:tcPr>
            <w:tcW w:w="5000" w:type="pct"/>
            <w:gridSpan w:val="1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绩效指标</w:t>
            </w:r>
          </w:p>
        </w:tc>
      </w:tr>
      <w:tr>
        <w:tblPrEx>
          <w:tblCellMar>
            <w:top w:w="0" w:type="dxa"/>
            <w:left w:w="108" w:type="dxa"/>
            <w:bottom w:w="0" w:type="dxa"/>
            <w:right w:w="108" w:type="dxa"/>
          </w:tblCellMar>
        </w:tblPrEx>
        <w:trPr>
          <w:trHeight w:val="312" w:hRule="atLeast"/>
        </w:trPr>
        <w:tc>
          <w:tcPr>
            <w:tcW w:w="5000" w:type="pct"/>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4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一级指标</w:t>
            </w:r>
          </w:p>
        </w:tc>
        <w:tc>
          <w:tcPr>
            <w:tcW w:w="5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二级指标</w:t>
            </w:r>
          </w:p>
        </w:tc>
        <w:tc>
          <w:tcPr>
            <w:tcW w:w="63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三级指标</w:t>
            </w:r>
          </w:p>
        </w:tc>
        <w:tc>
          <w:tcPr>
            <w:tcW w:w="6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年度指标值</w:t>
            </w:r>
          </w:p>
        </w:tc>
        <w:tc>
          <w:tcPr>
            <w:tcW w:w="63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实际值完成值</w:t>
            </w:r>
          </w:p>
        </w:tc>
        <w:tc>
          <w:tcPr>
            <w:tcW w:w="6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分值</w:t>
            </w:r>
          </w:p>
        </w:tc>
        <w:tc>
          <w:tcPr>
            <w:tcW w:w="58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得分</w:t>
            </w:r>
          </w:p>
        </w:tc>
        <w:tc>
          <w:tcPr>
            <w:tcW w:w="34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偏差度</w:t>
            </w:r>
          </w:p>
        </w:tc>
        <w:tc>
          <w:tcPr>
            <w:tcW w:w="48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偏差原因分析及改进措施</w:t>
            </w:r>
          </w:p>
        </w:tc>
      </w:tr>
      <w:tr>
        <w:tblPrEx>
          <w:tblCellMar>
            <w:top w:w="0" w:type="dxa"/>
            <w:left w:w="108" w:type="dxa"/>
            <w:bottom w:w="0" w:type="dxa"/>
            <w:right w:w="108" w:type="dxa"/>
          </w:tblCellMar>
        </w:tblPrEx>
        <w:trPr>
          <w:trHeight w:val="312" w:hRule="atLeast"/>
        </w:trPr>
        <w:tc>
          <w:tcPr>
            <w:tcW w:w="4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3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3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8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34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48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4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成本指标</w:t>
            </w:r>
          </w:p>
        </w:tc>
        <w:tc>
          <w:tcPr>
            <w:tcW w:w="5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经济成本指标</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总成本</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≤3388万元</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3388万元</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58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47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产出指标</w:t>
            </w:r>
          </w:p>
        </w:tc>
        <w:tc>
          <w:tcPr>
            <w:tcW w:w="5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数量指标</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消除国家监管农村黑臭水体</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≥16条</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16条</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eastAsia="zh-CN"/>
              </w:rPr>
            </w:pPr>
            <w:r>
              <w:rPr>
                <w:rFonts w:hint="eastAsia" w:ascii="宋体" w:hAnsi="宋体" w:cs="宋体"/>
                <w:color w:val="000000"/>
                <w:kern w:val="0"/>
                <w:sz w:val="18"/>
                <w:szCs w:val="18"/>
                <w:lang w:val="en-US" w:eastAsia="zh-CN" w:bidi="ar"/>
              </w:rPr>
              <w:t>30</w:t>
            </w:r>
          </w:p>
        </w:tc>
        <w:tc>
          <w:tcPr>
            <w:tcW w:w="58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rPr>
            </w:pPr>
            <w:r>
              <w:rPr>
                <w:rFonts w:hint="eastAsia" w:ascii="宋体" w:hAnsi="宋体" w:cs="宋体"/>
                <w:color w:val="000000"/>
                <w:kern w:val="0"/>
                <w:sz w:val="18"/>
                <w:szCs w:val="18"/>
                <w:lang w:val="en-US" w:eastAsia="zh-CN" w:bidi="ar"/>
              </w:rPr>
              <w:t>30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4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质量指标</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rPr>
              <w:t>黑臭水体</w:t>
            </w:r>
            <w:r>
              <w:rPr>
                <w:rFonts w:hint="eastAsia" w:ascii="宋体" w:hAnsi="宋体" w:cs="宋体"/>
                <w:color w:val="000000"/>
                <w:sz w:val="18"/>
                <w:szCs w:val="18"/>
                <w:lang w:val="en-US" w:eastAsia="zh-CN"/>
              </w:rPr>
              <w:t>治理合格率</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=100%</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58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47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时效指标</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sz w:val="18"/>
                <w:szCs w:val="18"/>
                <w:lang w:eastAsia="zh-CN"/>
              </w:rPr>
            </w:pPr>
            <w:r>
              <w:rPr>
                <w:rFonts w:hint="eastAsia" w:ascii="宋体" w:hAnsi="宋体" w:cs="宋体"/>
                <w:color w:val="000000"/>
                <w:kern w:val="0"/>
                <w:sz w:val="18"/>
                <w:szCs w:val="18"/>
                <w:lang w:val="en-US" w:eastAsia="zh-CN" w:bidi="ar"/>
              </w:rPr>
              <w:t>完成时间</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2024年12月31日前</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eastAsia="zh-CN"/>
              </w:rPr>
            </w:pPr>
            <w:r>
              <w:rPr>
                <w:rFonts w:hint="eastAsia" w:ascii="宋体" w:hAnsi="宋体" w:cs="宋体"/>
                <w:color w:val="000000"/>
                <w:kern w:val="0"/>
                <w:sz w:val="18"/>
                <w:szCs w:val="18"/>
                <w:lang w:val="en-US" w:eastAsia="zh-CN" w:bidi="ar"/>
              </w:rPr>
              <w:t>20</w:t>
            </w:r>
          </w:p>
        </w:tc>
        <w:tc>
          <w:tcPr>
            <w:tcW w:w="58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rPr>
            </w:pPr>
            <w:r>
              <w:rPr>
                <w:rFonts w:hint="eastAsia" w:ascii="宋体" w:hAnsi="宋体" w:cs="宋体"/>
                <w:color w:val="000000"/>
                <w:kern w:val="0"/>
                <w:sz w:val="18"/>
                <w:szCs w:val="18"/>
                <w:lang w:val="en-US" w:eastAsia="zh-CN" w:bidi="ar"/>
              </w:rPr>
              <w:t>20</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4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效益指标</w:t>
            </w:r>
          </w:p>
        </w:tc>
        <w:tc>
          <w:tcPr>
            <w:tcW w:w="5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社会效益指标</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持续改善居民居住环境</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sz w:val="18"/>
                <w:szCs w:val="18"/>
              </w:rPr>
              <w:t>持续改善</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15</w:t>
            </w:r>
          </w:p>
        </w:tc>
        <w:tc>
          <w:tcPr>
            <w:tcW w:w="58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15</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4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满意度指标</w:t>
            </w:r>
          </w:p>
        </w:tc>
        <w:tc>
          <w:tcPr>
            <w:tcW w:w="5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服务对象满意度指标</w:t>
            </w:r>
          </w:p>
        </w:tc>
        <w:tc>
          <w:tcPr>
            <w:tcW w:w="63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群众满意度</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≥90%</w:t>
            </w:r>
          </w:p>
        </w:tc>
        <w:tc>
          <w:tcPr>
            <w:tcW w:w="6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w:t>
            </w:r>
            <w:r>
              <w:rPr>
                <w:rFonts w:hint="eastAsia" w:ascii="宋体" w:hAnsi="宋体" w:cs="宋体"/>
                <w:color w:val="000000"/>
                <w:kern w:val="0"/>
                <w:sz w:val="18"/>
                <w:szCs w:val="18"/>
                <w:lang w:val="en-US" w:eastAsia="zh-CN" w:bidi="ar"/>
              </w:rPr>
              <w:t>0</w:t>
            </w:r>
            <w:r>
              <w:rPr>
                <w:rFonts w:hint="eastAsia" w:ascii="宋体" w:hAnsi="宋体" w:eastAsia="宋体" w:cs="宋体"/>
                <w:color w:val="000000"/>
                <w:kern w:val="0"/>
                <w:sz w:val="18"/>
                <w:szCs w:val="18"/>
                <w:lang w:bidi="ar"/>
              </w:rPr>
              <w:t>%</w:t>
            </w:r>
          </w:p>
        </w:tc>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15</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sz w:val="18"/>
                <w:szCs w:val="18"/>
                <w:lang w:val="en-US" w:eastAsia="zh-CN"/>
              </w:rPr>
            </w:pPr>
            <w:r>
              <w:rPr>
                <w:rFonts w:hint="eastAsia" w:ascii="宋体" w:hAnsi="宋体" w:eastAsia="宋体" w:cs="宋体"/>
                <w:color w:val="000000"/>
                <w:kern w:val="0"/>
                <w:sz w:val="18"/>
                <w:szCs w:val="18"/>
                <w:lang w:bidi="ar"/>
              </w:rPr>
              <w:t>1</w:t>
            </w:r>
            <w:r>
              <w:rPr>
                <w:rFonts w:hint="eastAsia" w:ascii="宋体" w:hAnsi="宋体" w:cs="宋体"/>
                <w:color w:val="000000"/>
                <w:kern w:val="0"/>
                <w:sz w:val="18"/>
                <w:szCs w:val="18"/>
                <w:lang w:val="en-US" w:eastAsia="zh-CN" w:bidi="ar"/>
              </w:rPr>
              <w:t>4</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760" w:hRule="atLeast"/>
        </w:trPr>
        <w:tc>
          <w:tcPr>
            <w:tcW w:w="2952"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总分</w:t>
            </w:r>
          </w:p>
        </w:tc>
        <w:tc>
          <w:tcPr>
            <w:tcW w:w="6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58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99</w:t>
            </w:r>
          </w:p>
        </w:tc>
        <w:tc>
          <w:tcPr>
            <w:tcW w:w="3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91.10</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Layout w:type="autofit"/>
        <w:tblCellMar>
          <w:top w:w="0" w:type="dxa"/>
          <w:left w:w="108" w:type="dxa"/>
          <w:bottom w:w="0" w:type="dxa"/>
          <w:right w:w="108" w:type="dxa"/>
        </w:tblCellMar>
      </w:tblPr>
      <w:tblGrid>
        <w:gridCol w:w="1439"/>
        <w:gridCol w:w="1451"/>
        <w:gridCol w:w="1965"/>
        <w:gridCol w:w="1485"/>
        <w:gridCol w:w="1494"/>
        <w:gridCol w:w="2169"/>
        <w:gridCol w:w="607"/>
        <w:gridCol w:w="729"/>
        <w:gridCol w:w="1114"/>
        <w:gridCol w:w="984"/>
        <w:gridCol w:w="737"/>
      </w:tblGrid>
      <w:tr>
        <w:tblPrEx>
          <w:tblCellMar>
            <w:top w:w="0" w:type="dxa"/>
            <w:left w:w="108" w:type="dxa"/>
            <w:bottom w:w="0" w:type="dxa"/>
            <w:right w:w="108" w:type="dxa"/>
          </w:tblCellMar>
        </w:tblPrEx>
        <w:trPr>
          <w:trHeight w:val="312"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部门整体支出绩效自评情况表</w:t>
            </w:r>
          </w:p>
        </w:tc>
      </w:tr>
      <w:tr>
        <w:tblPrEx>
          <w:tblCellMar>
            <w:top w:w="0" w:type="dxa"/>
            <w:left w:w="108" w:type="dxa"/>
            <w:bottom w:w="0" w:type="dxa"/>
            <w:right w:w="108" w:type="dxa"/>
          </w:tblCellMar>
        </w:tblPrEx>
        <w:trPr>
          <w:trHeight w:val="312"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lang w:bidi="ar"/>
              </w:rPr>
              <w:t>202</w:t>
            </w:r>
            <w:r>
              <w:rPr>
                <w:rFonts w:hint="eastAsia" w:ascii="宋体" w:hAnsi="宋体" w:cs="宋体"/>
                <w:color w:val="000000"/>
                <w:kern w:val="0"/>
                <w:sz w:val="18"/>
                <w:szCs w:val="18"/>
                <w:lang w:val="en-US" w:eastAsia="zh-CN" w:bidi="ar"/>
              </w:rPr>
              <w:t>5</w:t>
            </w:r>
            <w:r>
              <w:rPr>
                <w:rFonts w:hint="eastAsia" w:ascii="宋体" w:hAnsi="宋体" w:eastAsia="宋体" w:cs="宋体"/>
                <w:color w:val="000000"/>
                <w:kern w:val="0"/>
                <w:sz w:val="18"/>
                <w:szCs w:val="18"/>
                <w:lang w:bidi="ar"/>
              </w:rPr>
              <w:t>年8月</w:t>
            </w:r>
          </w:p>
        </w:tc>
      </w:tr>
      <w:tr>
        <w:tblPrEx>
          <w:tblCellMar>
            <w:top w:w="0" w:type="dxa"/>
            <w:left w:w="108" w:type="dxa"/>
            <w:bottom w:w="0" w:type="dxa"/>
            <w:right w:w="108" w:type="dxa"/>
          </w:tblCellMar>
        </w:tblPrEx>
        <w:trPr>
          <w:trHeight w:val="312" w:hRule="atLeast"/>
        </w:trPr>
        <w:tc>
          <w:tcPr>
            <w:tcW w:w="1713" w:type="pct"/>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部门（单位）名称</w:t>
            </w:r>
          </w:p>
        </w:tc>
        <w:tc>
          <w:tcPr>
            <w:tcW w:w="3286" w:type="pct"/>
            <w:gridSpan w:val="8"/>
            <w:tcBorders>
              <w:top w:val="single" w:color="000000" w:sz="4" w:space="0"/>
              <w:left w:val="single" w:color="000000" w:sz="4" w:space="0"/>
              <w:bottom w:val="single" w:color="000000" w:sz="4" w:space="0"/>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lang w:bidi="ar"/>
              </w:rPr>
              <w:t>周口市生态环境局郸城分局</w:t>
            </w:r>
          </w:p>
        </w:tc>
      </w:tr>
      <w:tr>
        <w:tblPrEx>
          <w:tblCellMar>
            <w:top w:w="0" w:type="dxa"/>
            <w:left w:w="108" w:type="dxa"/>
            <w:bottom w:w="0" w:type="dxa"/>
            <w:right w:w="108" w:type="dxa"/>
          </w:tblCellMar>
        </w:tblPrEx>
        <w:trPr>
          <w:trHeight w:val="312" w:hRule="atLeast"/>
        </w:trPr>
        <w:tc>
          <w:tcPr>
            <w:tcW w:w="508"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部门整体支出情况(万元)</w:t>
            </w:r>
          </w:p>
        </w:tc>
        <w:tc>
          <w:tcPr>
            <w:tcW w:w="12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年初预算数</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全年预算数</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全年执行数</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分值</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执行率</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得分</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120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部门预算总额</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eastAsia="zh-CN"/>
              </w:rPr>
            </w:pPr>
            <w:r>
              <w:rPr>
                <w:rFonts w:hint="eastAsia" w:ascii="宋体" w:hAnsi="宋体" w:cs="宋体"/>
                <w:color w:val="000000"/>
                <w:kern w:val="0"/>
                <w:sz w:val="18"/>
                <w:szCs w:val="18"/>
                <w:lang w:val="en-US" w:eastAsia="zh-CN" w:bidi="ar"/>
              </w:rPr>
              <w:t>206.94</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hint="default" w:ascii="宋体" w:hAnsi="宋体" w:eastAsia="宋体" w:cs="宋体"/>
                <w:color w:val="000000"/>
                <w:sz w:val="18"/>
                <w:szCs w:val="18"/>
                <w:lang w:val="en-US" w:eastAsia="zh-CN"/>
              </w:rPr>
            </w:pPr>
            <w:r>
              <w:rPr>
                <w:rFonts w:hint="eastAsia" w:ascii="宋体" w:hAnsi="宋体" w:cs="宋体"/>
                <w:color w:val="000000"/>
                <w:kern w:val="0"/>
                <w:sz w:val="18"/>
                <w:szCs w:val="18"/>
                <w:lang w:val="en-US" w:eastAsia="zh-CN" w:bidi="ar"/>
              </w:rPr>
              <w:t>5588.17</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5588.17</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45.92%</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5.1</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120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资金来源：（1）财政拨款</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206.94</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5588.17</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cs="宋体"/>
                <w:color w:val="000000"/>
                <w:kern w:val="0"/>
                <w:sz w:val="18"/>
                <w:szCs w:val="18"/>
                <w:lang w:val="en-US" w:eastAsia="zh-CN" w:bidi="ar"/>
              </w:rPr>
              <w:t>5588.17</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48.13%</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120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（2）财政专户管理资金</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120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（3）单位资金</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kern w:val="2"/>
                <w:sz w:val="18"/>
                <w:szCs w:val="18"/>
                <w:lang w:val="en-US" w:eastAsia="zh-CN" w:bidi="ar-SA"/>
              </w:rPr>
            </w:pPr>
            <w:r>
              <w:rPr>
                <w:rFonts w:hint="eastAsia" w:ascii="宋体" w:hAnsi="宋体" w:eastAsia="宋体" w:cs="宋体"/>
                <w:color w:val="000000"/>
                <w:kern w:val="0"/>
                <w:sz w:val="18"/>
                <w:szCs w:val="18"/>
                <w:lang w:bidi="ar"/>
              </w:rPr>
              <w:t>0</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kern w:val="2"/>
                <w:sz w:val="18"/>
                <w:szCs w:val="18"/>
                <w:lang w:val="en-US" w:eastAsia="zh-CN" w:bidi="ar-SA"/>
              </w:rPr>
            </w:pPr>
            <w:r>
              <w:rPr>
                <w:rFonts w:hint="eastAsia" w:ascii="宋体" w:hAnsi="宋体" w:eastAsia="宋体" w:cs="宋体"/>
                <w:color w:val="000000"/>
                <w:kern w:val="0"/>
                <w:sz w:val="18"/>
                <w:szCs w:val="18"/>
                <w:lang w:bidi="ar"/>
              </w:rPr>
              <w:t>0</w:t>
            </w:r>
          </w:p>
        </w:tc>
        <w:tc>
          <w:tcPr>
            <w:tcW w:w="65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w:t>
            </w:r>
          </w:p>
        </w:tc>
        <w:tc>
          <w:tcPr>
            <w:tcW w:w="2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w:t>
            </w:r>
          </w:p>
        </w:tc>
      </w:tr>
      <w:tr>
        <w:tblPrEx>
          <w:tblCellMar>
            <w:top w:w="0" w:type="dxa"/>
            <w:left w:w="108" w:type="dxa"/>
            <w:bottom w:w="0" w:type="dxa"/>
            <w:right w:w="108" w:type="dxa"/>
          </w:tblCellMar>
        </w:tblPrEx>
        <w:trPr>
          <w:trHeight w:val="312" w:hRule="atLeast"/>
        </w:trPr>
        <w:tc>
          <w:tcPr>
            <w:tcW w:w="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年度履职目标</w:t>
            </w:r>
          </w:p>
        </w:tc>
        <w:tc>
          <w:tcPr>
            <w:tcW w:w="225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预期目标</w:t>
            </w:r>
          </w:p>
        </w:tc>
        <w:tc>
          <w:tcPr>
            <w:tcW w:w="2235"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实际完成情况</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2255" w:type="pct"/>
            <w:gridSpan w:val="4"/>
            <w:tcBorders>
              <w:top w:val="single" w:color="000000" w:sz="4" w:space="0"/>
              <w:left w:val="single" w:color="000000" w:sz="4" w:space="0"/>
              <w:bottom w:val="nil"/>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lang w:bidi="ar"/>
              </w:rPr>
              <w:t>严格落实中央和省委、市委、县委各项工作部署，坚持以改善环境质量为核心，以解决群众最关心的环境问题为目标，加强环境整治工作，全县环境质量得到明显提升。</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1、持续改善环境质量；</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2、强力推进污染防治攻坚；</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3、生态环境执法不断加强；</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4、营商环境不断优化。</w:t>
            </w:r>
          </w:p>
        </w:tc>
        <w:tc>
          <w:tcPr>
            <w:tcW w:w="2235" w:type="pct"/>
            <w:gridSpan w:val="6"/>
            <w:tcBorders>
              <w:top w:val="single" w:color="000000" w:sz="4" w:space="0"/>
              <w:left w:val="single" w:color="000000" w:sz="4" w:space="0"/>
              <w:bottom w:val="nil"/>
              <w:right w:val="single" w:color="000000" w:sz="4" w:space="0"/>
            </w:tcBorders>
            <w:shd w:val="clear" w:color="auto" w:fill="auto"/>
          </w:tcPr>
          <w:p>
            <w:pPr>
              <w:keepNext w:val="0"/>
              <w:keepLines w:val="0"/>
              <w:pageBreakBefore w:val="0"/>
              <w:widowControl/>
              <w:kinsoku/>
              <w:wordWrap/>
              <w:overflowPunct/>
              <w:topLinePunct w:val="0"/>
              <w:autoSpaceDE/>
              <w:autoSpaceDN/>
              <w:bidi w:val="0"/>
              <w:adjustRightInd/>
              <w:jc w:val="center"/>
              <w:textAlignment w:val="top"/>
              <w:rPr>
                <w:rFonts w:ascii="宋体" w:hAnsi="宋体" w:eastAsia="宋体" w:cs="宋体"/>
                <w:color w:val="000000"/>
                <w:sz w:val="18"/>
                <w:szCs w:val="18"/>
              </w:rPr>
            </w:pPr>
            <w:r>
              <w:rPr>
                <w:rFonts w:hint="eastAsia" w:ascii="宋体" w:hAnsi="宋体" w:eastAsia="宋体" w:cs="宋体"/>
                <w:color w:val="000000"/>
                <w:kern w:val="0"/>
                <w:sz w:val="18"/>
                <w:szCs w:val="18"/>
                <w:lang w:bidi="ar"/>
              </w:rPr>
              <w:t>严格落实中央和省委、市委、县委各项工作部署，坚持以改善环境质量为核心，以解决群众最关心的环境问题为目标，加强环境整治工作，全县环境质量得到明显提升。</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1、持续改善环境质量；</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2、强力推进污染防治攻坚；</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3、生态环境执法不断加强；</w:t>
            </w:r>
            <w:r>
              <w:rPr>
                <w:rFonts w:hint="eastAsia" w:ascii="宋体" w:hAnsi="宋体" w:eastAsia="宋体" w:cs="宋体"/>
                <w:color w:val="000000"/>
                <w:kern w:val="0"/>
                <w:sz w:val="18"/>
                <w:szCs w:val="18"/>
                <w:lang w:bidi="ar"/>
              </w:rPr>
              <w:br w:type="textWrapping"/>
            </w:r>
            <w:r>
              <w:rPr>
                <w:rFonts w:hint="eastAsia" w:ascii="宋体" w:hAnsi="宋体" w:eastAsia="宋体" w:cs="宋体"/>
                <w:color w:val="000000"/>
                <w:kern w:val="0"/>
                <w:sz w:val="18"/>
                <w:szCs w:val="18"/>
                <w:lang w:bidi="ar"/>
              </w:rPr>
              <w:t>4、营商环境不断优化。</w:t>
            </w:r>
          </w:p>
        </w:tc>
      </w:tr>
      <w:tr>
        <w:tblPrEx>
          <w:tblCellMar>
            <w:top w:w="0" w:type="dxa"/>
            <w:left w:w="108" w:type="dxa"/>
            <w:bottom w:w="0" w:type="dxa"/>
            <w:right w:w="108" w:type="dxa"/>
          </w:tblCellMar>
        </w:tblPrEx>
        <w:trPr>
          <w:trHeight w:val="312"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年度主要任务</w:t>
            </w:r>
          </w:p>
        </w:tc>
      </w:tr>
      <w:tr>
        <w:tblPrEx>
          <w:tblCellMar>
            <w:top w:w="0" w:type="dxa"/>
            <w:left w:w="108" w:type="dxa"/>
            <w:bottom w:w="0" w:type="dxa"/>
            <w:right w:w="108" w:type="dxa"/>
          </w:tblCellMar>
        </w:tblPrEx>
        <w:trPr>
          <w:trHeight w:val="312"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10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任务名称</w:t>
            </w:r>
          </w:p>
        </w:tc>
        <w:tc>
          <w:tcPr>
            <w:tcW w:w="174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主要内容</w:t>
            </w:r>
          </w:p>
        </w:tc>
        <w:tc>
          <w:tcPr>
            <w:tcW w:w="2235"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实际完成情况</w:t>
            </w:r>
          </w:p>
        </w:tc>
      </w:tr>
      <w:tr>
        <w:tblPrEx>
          <w:tblCellMar>
            <w:top w:w="0" w:type="dxa"/>
            <w:left w:w="108" w:type="dxa"/>
            <w:bottom w:w="0" w:type="dxa"/>
            <w:right w:w="108" w:type="dxa"/>
          </w:tblCellMar>
        </w:tblPrEx>
        <w:trPr>
          <w:trHeight w:val="312" w:hRule="atLeast"/>
        </w:trPr>
        <w:tc>
          <w:tcPr>
            <w:tcW w:w="10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1、坚持打好污染防治攻坚战；</w:t>
            </w:r>
          </w:p>
        </w:tc>
        <w:tc>
          <w:tcPr>
            <w:tcW w:w="17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重点开展机动车污染整治、工业企业涉挥发性有机物治理、施工扬尘污染控制、餐饮油烟污染治理、秸秆垃圾禁烧网格化监管等专项治理。</w:t>
            </w:r>
          </w:p>
        </w:tc>
        <w:tc>
          <w:tcPr>
            <w:tcW w:w="223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重点开展机动车污染整治、工业企业涉挥发性有机物治理、施工扬尘污染控制、餐饮油烟污染治理、秸秆垃圾禁烧网格化监管等专项治理。</w:t>
            </w:r>
          </w:p>
        </w:tc>
      </w:tr>
      <w:tr>
        <w:tblPrEx>
          <w:tblCellMar>
            <w:top w:w="0" w:type="dxa"/>
            <w:left w:w="108" w:type="dxa"/>
            <w:bottom w:w="0" w:type="dxa"/>
            <w:right w:w="108" w:type="dxa"/>
          </w:tblCellMar>
        </w:tblPrEx>
        <w:trPr>
          <w:trHeight w:val="312" w:hRule="atLeast"/>
        </w:trPr>
        <w:tc>
          <w:tcPr>
            <w:tcW w:w="10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2、持续推进“散乱污”企业整治；</w:t>
            </w:r>
          </w:p>
        </w:tc>
        <w:tc>
          <w:tcPr>
            <w:tcW w:w="17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继续保持“散乱污”工业企业整治高压态势，发现一个，取缔一个，打击到位。</w:t>
            </w:r>
          </w:p>
        </w:tc>
        <w:tc>
          <w:tcPr>
            <w:tcW w:w="223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继续保持“散乱污”工业企业整治高压态势，发现一个，取缔一个，打击到位。</w:t>
            </w:r>
          </w:p>
        </w:tc>
      </w:tr>
      <w:tr>
        <w:tblPrEx>
          <w:tblCellMar>
            <w:top w:w="0" w:type="dxa"/>
            <w:left w:w="108" w:type="dxa"/>
            <w:bottom w:w="0" w:type="dxa"/>
            <w:right w:w="108" w:type="dxa"/>
          </w:tblCellMar>
        </w:tblPrEx>
        <w:trPr>
          <w:trHeight w:val="312" w:hRule="atLeast"/>
        </w:trPr>
        <w:tc>
          <w:tcPr>
            <w:tcW w:w="10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3、加强农村环境污染整治；</w:t>
            </w:r>
          </w:p>
        </w:tc>
        <w:tc>
          <w:tcPr>
            <w:tcW w:w="17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与农业农村部门联合监督管理做好畜禽养殖行业污染防治和监督治理工作，尽可能地消除畜禽养殖废水影响污染地表及地下水质及防护距离和措施不到位造成的污染问题。</w:t>
            </w:r>
          </w:p>
        </w:tc>
        <w:tc>
          <w:tcPr>
            <w:tcW w:w="223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与农业农村部门联合监督管理做好畜禽养殖行业污染防治和监督治理工作，尽可能地消除畜禽养殖废水影响污染地表及地下水质及防护距离和措施不到位造成的污染问题。</w:t>
            </w:r>
          </w:p>
        </w:tc>
      </w:tr>
      <w:tr>
        <w:tblPrEx>
          <w:tblCellMar>
            <w:top w:w="0" w:type="dxa"/>
            <w:left w:w="108" w:type="dxa"/>
            <w:bottom w:w="0" w:type="dxa"/>
            <w:right w:w="108" w:type="dxa"/>
          </w:tblCellMar>
        </w:tblPrEx>
        <w:trPr>
          <w:trHeight w:val="312" w:hRule="atLeast"/>
        </w:trPr>
        <w:tc>
          <w:tcPr>
            <w:tcW w:w="102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4、全面加强环境监管执法</w:t>
            </w:r>
          </w:p>
        </w:tc>
        <w:tc>
          <w:tcPr>
            <w:tcW w:w="17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加强企业环境监管，严厉打击环境违法行为，持续保持环境执法高压态势，对违法企业严格处罚，强化行政执法与刑事司法联动，震慑环境违法企业。</w:t>
            </w:r>
          </w:p>
        </w:tc>
        <w:tc>
          <w:tcPr>
            <w:tcW w:w="223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加强企业环境监管，严厉打击环境违法行为，持续保持环境执法高压态势，对违法企业严格处罚，强化行政执法与刑事司法联动，震慑环境违法企业。</w:t>
            </w:r>
          </w:p>
        </w:tc>
      </w:tr>
      <w:tr>
        <w:tblPrEx>
          <w:tblCellMar>
            <w:top w:w="0" w:type="dxa"/>
            <w:left w:w="108" w:type="dxa"/>
            <w:bottom w:w="0" w:type="dxa"/>
            <w:right w:w="108" w:type="dxa"/>
          </w:tblCellMar>
        </w:tblPrEx>
        <w:trPr>
          <w:trHeight w:val="312"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绩效指标</w:t>
            </w:r>
          </w:p>
        </w:tc>
      </w:tr>
      <w:tr>
        <w:tblPrEx>
          <w:tblCellMar>
            <w:top w:w="0" w:type="dxa"/>
            <w:left w:w="108" w:type="dxa"/>
            <w:bottom w:w="0" w:type="dxa"/>
            <w:right w:w="108" w:type="dxa"/>
          </w:tblCellMar>
        </w:tblPrEx>
        <w:trPr>
          <w:trHeight w:val="312"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一级指标</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二级指标</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三级指标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年度指标值</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实际完成值</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分值</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得分</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偏差度</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偏差原因分析及改进措施</w:t>
            </w:r>
          </w:p>
        </w:tc>
      </w:tr>
      <w:tr>
        <w:tblPrEx>
          <w:tblCellMar>
            <w:top w:w="0" w:type="dxa"/>
            <w:left w:w="108" w:type="dxa"/>
            <w:bottom w:w="0" w:type="dxa"/>
            <w:right w:w="108" w:type="dxa"/>
          </w:tblCellMar>
        </w:tblPrEx>
        <w:trPr>
          <w:trHeight w:val="312" w:hRule="atLeast"/>
        </w:trPr>
        <w:tc>
          <w:tcPr>
            <w:tcW w:w="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投入管理指标</w:t>
            </w: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工作目标管理</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年度履职目标相关性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相关</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工作任务科学性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科学</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绩效指标合理性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合理</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预算和财务管理</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预算编制完整性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完整</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专项资金细化率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624"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预算调整率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972.25%</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4761.25</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计划调整</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结转结余率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54.08%</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170.40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部分资金未下达</w:t>
            </w: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“三公经费”控制率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政府采购执行率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决算真实性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真实</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资金使用合规性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合规</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2</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管理制度健全性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健全</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预决算信息公开性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资产管理规范性</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规范</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绩效管理</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绩效目标编制完成率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绩效监控完成率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绩效自评完成率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部门绩效评价完成率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评价结果应用率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产出指标</w:t>
            </w: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重点工作任务完成</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重点工作任务1计划完成率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重点工作任务2计划完成率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重点工作任务3计划完成率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重点工作任务4计划完成率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履职目标实现</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履职目标1计划完成率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履职目标2计划完成率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履职目标3计划完成率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3</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履职目标4计划完成率</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4</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效益指标</w:t>
            </w:r>
          </w:p>
        </w:tc>
        <w:tc>
          <w:tcPr>
            <w:tcW w:w="5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履职效益</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改善居民人居环境</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改善</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降低源污染</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降低</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满意度</w:t>
            </w:r>
          </w:p>
        </w:tc>
        <w:tc>
          <w:tcPr>
            <w:tcW w:w="69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群众满意度</w:t>
            </w:r>
          </w:p>
        </w:tc>
        <w:tc>
          <w:tcPr>
            <w:tcW w:w="10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≥90%</w:t>
            </w:r>
          </w:p>
        </w:tc>
        <w:tc>
          <w:tcPr>
            <w:tcW w:w="7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96%</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15</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15</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0.00</w:t>
            </w: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r>
        <w:tblPrEx>
          <w:tblCellMar>
            <w:top w:w="0" w:type="dxa"/>
            <w:left w:w="108" w:type="dxa"/>
            <w:bottom w:w="0" w:type="dxa"/>
            <w:right w:w="108" w:type="dxa"/>
          </w:tblCellMar>
        </w:tblPrEx>
        <w:trPr>
          <w:trHeight w:val="312" w:hRule="atLeast"/>
        </w:trPr>
        <w:tc>
          <w:tcPr>
            <w:tcW w:w="352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总分</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100</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91.1</w:t>
            </w:r>
          </w:p>
        </w:tc>
        <w:tc>
          <w:tcPr>
            <w:tcW w:w="39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c>
          <w:tcPr>
            <w:tcW w:w="60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jc w:val="center"/>
              <w:rPr>
                <w:rFonts w:ascii="宋体" w:hAnsi="宋体" w:eastAsia="宋体" w:cs="宋体"/>
                <w:color w:val="000000"/>
                <w:sz w:val="18"/>
                <w:szCs w:val="18"/>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lang w:val="en-US" w:eastAsia="zh-CN"/>
        </w:rPr>
        <w:t>我部门2024年度未开展预算项目重点绩效评价，财政部门也未选取我部门2024年度预算项目开展财政重点评价。</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3C55C2D"/>
    <w:rsid w:val="77F95432"/>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
    <w:name w:val="Hyperlink"/>
    <w:basedOn w:val="4"/>
    <w:unhideWhenUsed/>
    <w:uiPriority w:val="99"/>
    <w:rPr>
      <w:color w:val="0000FF"/>
      <w:u w:val="single"/>
    </w:rPr>
  </w:style>
  <w:style w:type="character" w:customStyle="1" w:styleId="6">
    <w:name w:val="默认段落字体1"/>
    <w:unhideWhenUsed/>
    <w:uiPriority w:val="1"/>
  </w:style>
  <w:style w:type="table" w:customStyle="1" w:styleId="7">
    <w:name w:val="普通表格1"/>
    <w:unhideWhenUsed/>
    <w:qFormat/>
    <w:uiPriority w:val="99"/>
    <w:tblPr>
      <w:tblCellMar>
        <w:top w:w="0" w:type="dxa"/>
        <w:left w:w="108" w:type="dxa"/>
        <w:bottom w:w="0" w:type="dxa"/>
        <w:right w:w="108" w:type="dxa"/>
      </w:tblCellMar>
    </w:tblPr>
  </w:style>
  <w:style w:type="paragraph" w:customStyle="1" w:styleId="8">
    <w:name w:val="批注框文本1"/>
    <w:basedOn w:val="1"/>
    <w:link w:val="9"/>
    <w:unhideWhenUsed/>
    <w:qFormat/>
    <w:uiPriority w:val="99"/>
    <w:pPr>
      <w:jc w:val="both"/>
    </w:pPr>
    <w:rPr>
      <w:sz w:val="18"/>
      <w:szCs w:val="18"/>
      <w:lang w:val="en-US" w:eastAsia="zh-CN"/>
    </w:rPr>
  </w:style>
  <w:style w:type="character" w:customStyle="1" w:styleId="9">
    <w:name w:val="批注框文本 Char"/>
    <w:link w:val="8"/>
    <w:semiHidden/>
    <w:qFormat/>
    <w:uiPriority w:val="99"/>
    <w:rPr>
      <w:kern w:val="2"/>
      <w:sz w:val="18"/>
      <w:szCs w:val="18"/>
    </w:rPr>
  </w:style>
  <w:style w:type="paragraph" w:customStyle="1" w:styleId="10">
    <w:name w:val="页脚1"/>
    <w:basedOn w:val="1"/>
    <w:link w:val="11"/>
    <w:unhideWhenUsed/>
    <w:qFormat/>
    <w:uiPriority w:val="99"/>
    <w:pPr>
      <w:tabs>
        <w:tab w:val="center" w:pos="4153"/>
        <w:tab w:val="right" w:pos="8306"/>
      </w:tabs>
      <w:snapToGrid w:val="0"/>
      <w:jc w:val="left"/>
    </w:pPr>
    <w:rPr>
      <w:sz w:val="18"/>
      <w:szCs w:val="18"/>
      <w:lang w:val="en-US" w:eastAsia="zh-CN"/>
    </w:rPr>
  </w:style>
  <w:style w:type="character" w:customStyle="1" w:styleId="11">
    <w:name w:val="页脚 Char"/>
    <w:link w:val="10"/>
    <w:qFormat/>
    <w:uiPriority w:val="99"/>
    <w:rPr>
      <w:kern w:val="2"/>
      <w:sz w:val="18"/>
      <w:szCs w:val="18"/>
    </w:rPr>
  </w:style>
  <w:style w:type="paragraph" w:customStyle="1" w:styleId="12">
    <w:name w:val="页眉1"/>
    <w:basedOn w:val="1"/>
    <w:link w:val="13"/>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3">
    <w:name w:val="页眉 Char"/>
    <w:link w:val="12"/>
    <w:qFormat/>
    <w:uiPriority w:val="99"/>
    <w:rPr>
      <w:kern w:val="2"/>
      <w:sz w:val="18"/>
      <w:szCs w:val="18"/>
    </w:rPr>
  </w:style>
  <w:style w:type="paragraph" w:customStyle="1" w:styleId="14">
    <w:name w:val="普通(网站)1"/>
    <w:basedOn w:val="1"/>
    <w:unhideWhenUsed/>
    <w:qFormat/>
    <w:uiPriority w:val="99"/>
    <w:pPr>
      <w:jc w:val="both"/>
    </w:pPr>
    <w:rPr>
      <w:sz w:val="24"/>
      <w:lang w:val="en-US" w:eastAsia="zh-CN"/>
    </w:rPr>
  </w:style>
  <w:style w:type="table" w:customStyle="1" w:styleId="15">
    <w:name w:val="网格型1"/>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6">
    <w:name w:val="已访问的超链接1"/>
    <w:unhideWhenUsed/>
    <w:qFormat/>
    <w:uiPriority w:val="99"/>
    <w:rPr>
      <w:color w:val="800080"/>
      <w:u w:val="single"/>
    </w:rPr>
  </w:style>
  <w:style w:type="character" w:customStyle="1" w:styleId="17">
    <w:name w:val="超链接1"/>
    <w:unhideWhenUsed/>
    <w:qFormat/>
    <w:uiPriority w:val="99"/>
    <w:rPr>
      <w:color w:val="0000FF"/>
      <w:u w:val="single"/>
    </w:rPr>
  </w:style>
  <w:style w:type="character" w:customStyle="1" w:styleId="18">
    <w:name w:val="font01"/>
    <w:qFormat/>
    <w:uiPriority w:val="0"/>
    <w:rPr>
      <w:rFonts w:hint="eastAsia" w:ascii="宋体" w:hAnsi="宋体" w:eastAsia="宋体" w:cs="宋体"/>
      <w:color w:val="000000"/>
      <w:sz w:val="22"/>
      <w:szCs w:val="22"/>
      <w:u w:val="none"/>
    </w:rPr>
  </w:style>
  <w:style w:type="character" w:customStyle="1" w:styleId="19">
    <w:name w:val="font21"/>
    <w:qFormat/>
    <w:uiPriority w:val="0"/>
    <w:rPr>
      <w:rFonts w:hint="eastAsia" w:ascii="宋体" w:hAnsi="宋体" w:eastAsia="宋体" w:cs="宋体"/>
      <w:color w:val="000000"/>
      <w:sz w:val="22"/>
      <w:szCs w:val="22"/>
      <w:u w:val="none"/>
    </w:rPr>
  </w:style>
  <w:style w:type="character" w:customStyle="1" w:styleId="20">
    <w:name w:val="font51"/>
    <w:qFormat/>
    <w:uiPriority w:val="0"/>
    <w:rPr>
      <w:rFonts w:hint="eastAsia" w:ascii="宋体" w:hAnsi="宋体" w:eastAsia="宋体" w:cs="宋体"/>
      <w:color w:val="000000"/>
      <w:sz w:val="24"/>
      <w:szCs w:val="24"/>
      <w:u w:val="none"/>
    </w:rPr>
  </w:style>
  <w:style w:type="character" w:customStyle="1" w:styleId="21">
    <w:name w:val="font11"/>
    <w:qFormat/>
    <w:uiPriority w:val="0"/>
    <w:rPr>
      <w:rFonts w:hint="eastAsia" w:ascii="宋体" w:hAnsi="宋体" w:eastAsia="宋体" w:cs="宋体"/>
      <w:color w:val="000000"/>
      <w:sz w:val="20"/>
      <w:szCs w:val="20"/>
      <w:u w:val="none"/>
    </w:rPr>
  </w:style>
  <w:style w:type="character" w:customStyle="1" w:styleId="22">
    <w:name w:val="font41"/>
    <w:qFormat/>
    <w:uiPriority w:val="0"/>
    <w:rPr>
      <w:rFonts w:hint="eastAsia" w:ascii="宋体" w:hAnsi="宋体" w:eastAsia="宋体" w:cs="宋体"/>
      <w:color w:val="000000"/>
      <w:sz w:val="24"/>
      <w:szCs w:val="24"/>
      <w:u w:val="none"/>
    </w:rPr>
  </w:style>
  <w:style w:type="character" w:customStyle="1" w:styleId="23">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33</Pages>
  <Words>8037</Words>
  <Characters>10737</Characters>
  <Lines>1</Lines>
  <Paragraphs>1</Paragraphs>
  <TotalTime>2</TotalTime>
  <ScaleCrop>false</ScaleCrop>
  <LinksUpToDate>false</LinksUpToDate>
  <CharactersWithSpaces>11336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2025-12-08T10:46:09Z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5FEB72556C7877F5F13B36697F65919C</vt:lpwstr>
  </property>
</Properties>
</file>