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中共郸城县委政法委员会部门决算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中共郸城县委政法委员会概况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第一部分中共郸城县委政法委员会概况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bookmarkStart w:id="1" w:name="_GoBack"/>
      <w:bookmarkEnd w:id="1"/>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县委领导和管理政法工作的职能部门，是县委对政法工作实施领导的具体形式。主要任务是贯彻落实中央有关政法工作的方针、政策，紧紧围绕省委、市委部署和县委的中心工作，以平安建设为抓手，以维护社会稳定为重点，组织、领导、协调各级各部门深入开展治安防范，有效挤压犯罪空间；组织政法各部门严厉打击刑事犯罪和经济犯罪活动，营造良好的发展环境；组织开展法治宣传教育，深入推进依法治县工作；全面加强政法队伍建设，推动政法机关作风好转，增强执法公信力，提高政法机关和政法干警的良好形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中共郸城县委政法委员会内设机构</w:t>
      </w:r>
      <w:r>
        <w:rPr>
          <w:rFonts w:hint="eastAsia" w:ascii="仿宋_GB2312" w:hAnsi="宋体" w:eastAsia="仿宋_GB2312" w:cs="Courier New"/>
          <w:kern w:val="0"/>
          <w:sz w:val="32"/>
          <w:szCs w:val="32"/>
          <w:lang w:val="en-US" w:eastAsia="zh-CN"/>
        </w:rPr>
        <w:t>8</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办公室，基层防线室，维稳室，反邪教协调室，综治室，执法督查室，宣传教育室等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从决算单位构成看，中共郸城县委政法委员会部门决算为本级决算。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中共郸城县委政法委员会本级，无二级决算单位。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1,294.01</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1,211.13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54.22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16.77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1,294.01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1,294.01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1,294.01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1,294.01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1,294.01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1,294.01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1,211.13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1,211.13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党委办公厅（室）及相关机构事务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1,211.13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1,211.13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444.65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444.65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417.07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417.07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2013150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58.71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58.71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其他党委办公厅（室）及相关机构事务支出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290.71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290.71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54.22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30.37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23.86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586.23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707.78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1,211.13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503.35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707.78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党委办公厅（室）及相关机构事务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1,211.13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503.35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707.78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444.65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444.65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417.07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417.07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2013150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其他党委办公厅（室）及相关机构事务支出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290.71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290.71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23.86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1,211.13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1,211.13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54.22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1,294.01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1,294.01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586.23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707.78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1,211.13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503.35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707.78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党委办公厅（室）及相关机构事务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1,211.13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503.35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707.78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444.65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444.65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417.07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417.07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2013150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58.71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58.71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其他党委办公厅（室）及相关机构事务支出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290.71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290.71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54.22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54.22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30.37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23.86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23.86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23.86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11.88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11.88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11.88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16.77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548.90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36.65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407.49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15.63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0.76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11.88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23.86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16.77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0.68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0.68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1.35</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549.58</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36.65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3"/>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部门：中共郸城县委政法委员会</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3"/>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1294.01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与上年度相比，收、支总计各减少530.16万元，下降29.06%，主要原因是厉行节约，节约开支。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1294.01</w:t>
      </w:r>
      <w:r>
        <w:rPr>
          <w:rFonts w:hint="eastAsia" w:ascii="仿宋_GB2312" w:hAnsi="仿宋_GB2312" w:eastAsia="仿宋_GB2312" w:cs="仿宋_GB2312"/>
          <w:sz w:val="32"/>
          <w:szCs w:val="32"/>
          <w:lang w:val="en-US" w:eastAsia="zh-CN"/>
        </w:rPr>
        <w:t>万元，其中：财政拨款收入1294.01万元，占100.00%。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1294.01</w:t>
      </w:r>
      <w:r>
        <w:rPr>
          <w:rFonts w:hint="eastAsia" w:ascii="仿宋_GB2312" w:hAnsi="仿宋_GB2312" w:eastAsia="仿宋_GB2312" w:cs="仿宋_GB2312"/>
          <w:sz w:val="32"/>
          <w:szCs w:val="32"/>
          <w:lang w:val="en-US" w:eastAsia="zh-CN"/>
        </w:rPr>
        <w:t>万元，其中：基本支出586.23万元，占45.30%;项目支出707.78万元，占54.70%。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1294.01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与上年度相比，财政拨款收、支总计各减少530.16万元，下降29.06%，主要原因是厉行节约，节约开支。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2024年度一般公共预算财政拨款支出1294.01万元，占支出合计的100.00%。与上年度相比，一般公共预算财政拨款支出减少530.16万元，下降29.06%，主要原因是厉行节约，节约开支。</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1294.01万元，主要用于以下方面：一般公共服务（类）支出1211.13万元，占93.60%;社会保障和就业（类）支出54.22万元，占4.19%;卫生健康（类）支出11.88万元，占0.92%;住房保障（类）支出16.77万元，占1.30%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1294.01</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1294.01</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一般公共服务支出（类）党委办公厅（室）及相关机构事务（款）行政运行（项）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446.42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444.65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，完成年初预算的99.60%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厉行节约，节约开支。</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一般公共服务支出（类）党委办公厅（室）及相关机构事务（款）一般行政管理事务（项）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417.07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417.07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一般公共服务支出（类）党委办公厅（室）及相关机构事务（款）事业运行（项）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56.84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58.71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，完成年初预算的103.28%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人员经费的增加。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一般公共服务支出（类）党委办公厅（室）及相关机构事务（款）其他党委办公厅（室）及相关机构事务支出（项）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231.89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290.71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，完成年初预算的125.37%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业务活动和宣传活动的增加。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25.84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30.37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，完成年初预算的117.51%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人员经费的增加。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23.86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，完成年初预算的110.97%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人员经费的增加。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13.13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11.88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，完成年初预算的90.48%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退休人员的减少。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12.45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，完成年初预算的134.73%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人员经费的增加。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586.23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549.58</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36.65</w:t>
      </w:r>
      <w:r>
        <w:rPr>
          <w:rFonts w:hint="eastAsia" w:ascii="仿宋_GB2312" w:hAnsi="仿宋_GB2312" w:eastAsia="仿宋_GB2312" w:cs="仿宋_GB2312"/>
          <w:sz w:val="32"/>
          <w:szCs w:val="32"/>
          <w:lang w:val="en-US" w:eastAsia="zh-CN"/>
        </w:rPr>
        <w:t>万元，主要包括：办公费、印刷费、差旅费、其他交通费用、其他商品和服务支出。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2024年度机关运行经费支出36.65万元，比2023年增加16.29万元，增长80.04%。主要原因是单位增加了政法督导工作。</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248.1</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pStyle w:val="20"/>
        <w:ind w:left="0" w:leftChars="0"/>
      </w:pPr>
      <w:bookmarkStart w:id="0" w:name="_Toc12241"/>
      <w:r>
        <w:rPr>
          <w:rFonts w:eastAsia="仿宋"/>
        </w:rPr>
        <w:t xml:space="preserve">附表1 </w:t>
      </w:r>
      <w:r>
        <w:rPr>
          <w:rFonts w:hint="eastAsia" w:eastAsia="仿宋"/>
        </w:rPr>
        <w:t>自评价</w:t>
      </w:r>
      <w:r>
        <w:rPr>
          <w:rFonts w:eastAsia="仿宋"/>
        </w:rPr>
        <w:t>评分表</w:t>
      </w:r>
      <w:bookmarkEnd w:id="0"/>
    </w:p>
    <w:tbl>
      <w:tblPr>
        <w:tblStyle w:val="3"/>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96"/>
        <w:gridCol w:w="1147"/>
        <w:gridCol w:w="1045"/>
        <w:gridCol w:w="1163"/>
        <w:gridCol w:w="1163"/>
        <w:gridCol w:w="754"/>
        <w:gridCol w:w="754"/>
        <w:gridCol w:w="1850"/>
        <w:gridCol w:w="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0" w:hRule="atLeast"/>
        </w:trPr>
        <w:tc>
          <w:tcPr>
            <w:tcW w:w="8920" w:type="dxa"/>
            <w:gridSpan w:val="9"/>
            <w:shd w:val="clear" w:color="auto" w:fill="BFBFBF"/>
            <w:noWrap w:val="0"/>
            <w:vAlign w:val="top"/>
          </w:tcPr>
          <w:p>
            <w:pPr>
              <w:spacing w:line="240" w:lineRule="atLeast"/>
              <w:jc w:val="center"/>
              <w:rPr>
                <w:rFonts w:ascii="黑体" w:hAnsi="黑体" w:eastAsia="黑体" w:cs="Arial"/>
                <w:b/>
                <w:bCs/>
                <w:szCs w:val="28"/>
              </w:rPr>
            </w:pPr>
            <w:r>
              <w:rPr>
                <w:rFonts w:hint="eastAsia" w:ascii="仿宋" w:hAnsi="仿宋" w:eastAsia="仿宋" w:cs="仿宋"/>
                <w:b/>
                <w:bCs/>
                <w:sz w:val="24"/>
              </w:rPr>
              <w:t>自评价评分附件表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1120" w:hRule="atLeast"/>
        </w:trPr>
        <w:tc>
          <w:tcPr>
            <w:tcW w:w="996" w:type="dxa"/>
            <w:vMerge w:val="restart"/>
            <w:noWrap w:val="0"/>
            <w:vAlign w:val="top"/>
          </w:tcPr>
          <w:p>
            <w:r>
              <w:rPr>
                <w:sz w:val="20"/>
              </w:rPr>
              <w:t>一级指标</w:t>
            </w:r>
          </w:p>
        </w:tc>
        <w:tc>
          <w:tcPr>
            <w:tcW w:w="1147" w:type="dxa"/>
            <w:vMerge w:val="restart"/>
            <w:noWrap w:val="0"/>
            <w:vAlign w:val="top"/>
          </w:tcPr>
          <w:p>
            <w:r>
              <w:rPr>
                <w:sz w:val="20"/>
              </w:rPr>
              <w:t>二级指标</w:t>
            </w:r>
          </w:p>
        </w:tc>
        <w:tc>
          <w:tcPr>
            <w:tcW w:w="1045" w:type="dxa"/>
            <w:noWrap w:val="0"/>
            <w:vAlign w:val="top"/>
          </w:tcPr>
          <w:p>
            <w:r>
              <w:rPr>
                <w:sz w:val="20"/>
              </w:rPr>
              <w:t>三级指标</w:t>
            </w:r>
          </w:p>
        </w:tc>
        <w:tc>
          <w:tcPr>
            <w:tcW w:w="1163" w:type="dxa"/>
            <w:noWrap w:val="0"/>
            <w:vAlign w:val="top"/>
          </w:tcPr>
          <w:p>
            <w:r>
              <w:rPr>
                <w:sz w:val="20"/>
              </w:rPr>
              <w:t>年度目标值</w:t>
            </w:r>
          </w:p>
        </w:tc>
        <w:tc>
          <w:tcPr>
            <w:tcW w:w="1163" w:type="dxa"/>
            <w:noWrap w:val="0"/>
            <w:vAlign w:val="top"/>
          </w:tcPr>
          <w:p>
            <w:r>
              <w:rPr>
                <w:sz w:val="20"/>
              </w:rPr>
              <w:t>实际完成值</w:t>
            </w:r>
          </w:p>
        </w:tc>
        <w:tc>
          <w:tcPr>
            <w:tcW w:w="754" w:type="dxa"/>
            <w:noWrap w:val="0"/>
            <w:vAlign w:val="top"/>
          </w:tcPr>
          <w:p>
            <w:r>
              <w:rPr>
                <w:sz w:val="20"/>
              </w:rPr>
              <w:t>分值</w:t>
            </w:r>
          </w:p>
        </w:tc>
        <w:tc>
          <w:tcPr>
            <w:tcW w:w="754" w:type="dxa"/>
            <w:noWrap w:val="0"/>
            <w:vAlign w:val="top"/>
          </w:tcPr>
          <w:p>
            <w:r>
              <w:rPr>
                <w:sz w:val="20"/>
              </w:rPr>
              <w:t>得分</w:t>
            </w:r>
          </w:p>
        </w:tc>
        <w:tc>
          <w:tcPr>
            <w:tcW w:w="1850" w:type="dxa"/>
            <w:noWrap w:val="0"/>
            <w:vAlign w:val="top"/>
          </w:tcPr>
          <w:p>
            <w:r>
              <w:rPr>
                <w:sz w:val="20"/>
              </w:rPr>
              <w:t>偏差原因分析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819" w:hRule="atLeast"/>
        </w:trPr>
        <w:tc>
          <w:tcPr>
            <w:tcW w:w="996" w:type="dxa"/>
            <w:vMerge w:val="restart"/>
            <w:noWrap w:val="0"/>
            <w:vAlign w:val="top"/>
          </w:tcPr>
          <w:p>
            <w:r>
              <w:rPr>
                <w:sz w:val="20"/>
              </w:rPr>
              <w:t>成本指标</w:t>
            </w:r>
          </w:p>
        </w:tc>
        <w:tc>
          <w:tcPr>
            <w:tcW w:w="1147" w:type="dxa"/>
            <w:vMerge w:val="restart"/>
            <w:noWrap w:val="0"/>
            <w:vAlign w:val="top"/>
          </w:tcPr>
          <w:p>
            <w:r>
              <w:rPr>
                <w:sz w:val="20"/>
              </w:rPr>
              <w:t>经济成本指标</w:t>
            </w:r>
          </w:p>
        </w:tc>
        <w:tc>
          <w:tcPr>
            <w:tcW w:w="1045" w:type="dxa"/>
            <w:noWrap w:val="0"/>
            <w:vAlign w:val="top"/>
          </w:tcPr>
          <w:p>
            <w:r>
              <w:rPr>
                <w:sz w:val="20"/>
              </w:rPr>
              <w:t>总成本</w:t>
            </w:r>
          </w:p>
        </w:tc>
        <w:tc>
          <w:tcPr>
            <w:tcW w:w="1163" w:type="dxa"/>
            <w:noWrap w:val="0"/>
            <w:vAlign w:val="top"/>
          </w:tcPr>
          <w:p>
            <w:r>
              <w:rPr>
                <w:sz w:val="20"/>
              </w:rPr>
              <w:t>≤</w:t>
            </w:r>
            <w:r>
              <w:rPr>
                <w:rFonts w:hint="eastAsia"/>
                <w:sz w:val="20"/>
              </w:rPr>
              <w:t>4</w:t>
            </w:r>
            <w:r>
              <w:rPr>
                <w:rFonts w:hint="eastAsia"/>
                <w:sz w:val="20"/>
                <w:lang w:val="en-US" w:eastAsia="zh-CN"/>
              </w:rPr>
              <w:t>3.2</w:t>
            </w:r>
            <w:r>
              <w:rPr>
                <w:sz w:val="20"/>
              </w:rPr>
              <w:t>万元</w:t>
            </w:r>
          </w:p>
        </w:tc>
        <w:tc>
          <w:tcPr>
            <w:tcW w:w="1163" w:type="dxa"/>
            <w:noWrap w:val="0"/>
            <w:vAlign w:val="top"/>
          </w:tcPr>
          <w:p>
            <w:r>
              <w:rPr>
                <w:rFonts w:hint="eastAsia"/>
                <w:sz w:val="20"/>
                <w:lang w:val="en-US" w:eastAsia="zh-CN"/>
              </w:rPr>
              <w:t>31.2</w:t>
            </w:r>
            <w:r>
              <w:rPr>
                <w:sz w:val="20"/>
              </w:rPr>
              <w:t>万元</w:t>
            </w:r>
          </w:p>
        </w:tc>
        <w:tc>
          <w:tcPr>
            <w:tcW w:w="754" w:type="dxa"/>
            <w:noWrap w:val="0"/>
            <w:vAlign w:val="top"/>
          </w:tcPr>
          <w:p>
            <w:r>
              <w:rPr>
                <w:sz w:val="20"/>
              </w:rPr>
              <w:t>10</w:t>
            </w:r>
          </w:p>
        </w:tc>
        <w:tc>
          <w:tcPr>
            <w:tcW w:w="754" w:type="dxa"/>
            <w:noWrap w:val="0"/>
            <w:vAlign w:val="top"/>
          </w:tcPr>
          <w:p>
            <w:r>
              <w:rPr>
                <w:sz w:val="20"/>
              </w:rPr>
              <w:t>10</w:t>
            </w:r>
          </w:p>
        </w:tc>
        <w:tc>
          <w:tcPr>
            <w:tcW w:w="1850"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976" w:hRule="atLeast"/>
        </w:trPr>
        <w:tc>
          <w:tcPr>
            <w:tcW w:w="996" w:type="dxa"/>
            <w:vMerge w:val="restart"/>
            <w:noWrap w:val="0"/>
            <w:vAlign w:val="top"/>
          </w:tcPr>
          <w:p>
            <w:r>
              <w:rPr>
                <w:sz w:val="20"/>
              </w:rPr>
              <w:t>产出指标</w:t>
            </w:r>
          </w:p>
        </w:tc>
        <w:tc>
          <w:tcPr>
            <w:tcW w:w="1147" w:type="dxa"/>
            <w:noWrap w:val="0"/>
            <w:vAlign w:val="top"/>
          </w:tcPr>
          <w:p>
            <w:r>
              <w:rPr>
                <w:sz w:val="20"/>
              </w:rPr>
              <w:t>数量指标</w:t>
            </w:r>
          </w:p>
        </w:tc>
        <w:tc>
          <w:tcPr>
            <w:tcW w:w="1045" w:type="dxa"/>
            <w:noWrap w:val="0"/>
            <w:vAlign w:val="top"/>
          </w:tcPr>
          <w:p>
            <w:r>
              <w:rPr>
                <w:rFonts w:hint="eastAsia"/>
                <w:sz w:val="20"/>
              </w:rPr>
              <w:t>开展扫黑除恶巡查次数</w:t>
            </w:r>
          </w:p>
        </w:tc>
        <w:tc>
          <w:tcPr>
            <w:tcW w:w="1163" w:type="dxa"/>
            <w:noWrap w:val="0"/>
            <w:vAlign w:val="top"/>
          </w:tcPr>
          <w:p>
            <w:r>
              <w:rPr>
                <w:sz w:val="20"/>
              </w:rPr>
              <w:t>≥</w:t>
            </w:r>
            <w:r>
              <w:rPr>
                <w:rFonts w:hint="eastAsia"/>
                <w:sz w:val="20"/>
              </w:rPr>
              <w:t>100次</w:t>
            </w:r>
          </w:p>
        </w:tc>
        <w:tc>
          <w:tcPr>
            <w:tcW w:w="1163" w:type="dxa"/>
            <w:noWrap w:val="0"/>
            <w:vAlign w:val="top"/>
          </w:tcPr>
          <w:p>
            <w:r>
              <w:rPr>
                <w:rFonts w:hint="eastAsia"/>
                <w:sz w:val="20"/>
              </w:rPr>
              <w:t>100次</w:t>
            </w:r>
          </w:p>
        </w:tc>
        <w:tc>
          <w:tcPr>
            <w:tcW w:w="754" w:type="dxa"/>
            <w:noWrap w:val="0"/>
            <w:vAlign w:val="top"/>
          </w:tcPr>
          <w:p>
            <w:r>
              <w:rPr>
                <w:rFonts w:hint="eastAsia"/>
                <w:sz w:val="20"/>
              </w:rPr>
              <w:t>10</w:t>
            </w:r>
          </w:p>
        </w:tc>
        <w:tc>
          <w:tcPr>
            <w:tcW w:w="754" w:type="dxa"/>
            <w:noWrap w:val="0"/>
            <w:vAlign w:val="top"/>
          </w:tcPr>
          <w:p>
            <w:r>
              <w:rPr>
                <w:rFonts w:hint="eastAsia"/>
                <w:sz w:val="20"/>
              </w:rPr>
              <w:t>10</w:t>
            </w:r>
          </w:p>
        </w:tc>
        <w:tc>
          <w:tcPr>
            <w:tcW w:w="1850"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885" w:hRule="atLeast"/>
        </w:trPr>
        <w:tc>
          <w:tcPr>
            <w:tcW w:w="996" w:type="dxa"/>
            <w:vMerge w:val="continue"/>
            <w:noWrap w:val="0"/>
            <w:vAlign w:val="top"/>
          </w:tcPr>
          <w:p>
            <w:r>
              <w:rPr>
                <w:sz w:val="20"/>
              </w:rPr>
              <w:t>产出指标</w:t>
            </w:r>
          </w:p>
        </w:tc>
        <w:tc>
          <w:tcPr>
            <w:tcW w:w="1147" w:type="dxa"/>
            <w:noWrap w:val="0"/>
            <w:vAlign w:val="top"/>
          </w:tcPr>
          <w:p>
            <w:r>
              <w:rPr>
                <w:sz w:val="20"/>
              </w:rPr>
              <w:t>质量指标</w:t>
            </w:r>
          </w:p>
        </w:tc>
        <w:tc>
          <w:tcPr>
            <w:tcW w:w="1045" w:type="dxa"/>
            <w:noWrap w:val="0"/>
            <w:vAlign w:val="top"/>
          </w:tcPr>
          <w:p>
            <w:r>
              <w:rPr>
                <w:rFonts w:hint="eastAsia"/>
                <w:sz w:val="20"/>
              </w:rPr>
              <w:t>开展扫黑除恶巡查完成率</w:t>
            </w:r>
          </w:p>
        </w:tc>
        <w:tc>
          <w:tcPr>
            <w:tcW w:w="1163" w:type="dxa"/>
            <w:noWrap w:val="0"/>
            <w:vAlign w:val="top"/>
          </w:tcPr>
          <w:p>
            <w:r>
              <w:rPr>
                <w:sz w:val="20"/>
              </w:rPr>
              <w:t>≥9</w:t>
            </w:r>
            <w:r>
              <w:rPr>
                <w:rFonts w:hint="eastAsia"/>
                <w:sz w:val="20"/>
              </w:rPr>
              <w:t>0</w:t>
            </w:r>
            <w:r>
              <w:rPr>
                <w:sz w:val="20"/>
              </w:rPr>
              <w:t>%</w:t>
            </w:r>
          </w:p>
        </w:tc>
        <w:tc>
          <w:tcPr>
            <w:tcW w:w="1163" w:type="dxa"/>
            <w:noWrap w:val="0"/>
            <w:vAlign w:val="top"/>
          </w:tcPr>
          <w:p>
            <w:r>
              <w:rPr>
                <w:sz w:val="20"/>
              </w:rPr>
              <w:t>100%</w:t>
            </w:r>
          </w:p>
        </w:tc>
        <w:tc>
          <w:tcPr>
            <w:tcW w:w="754" w:type="dxa"/>
            <w:noWrap w:val="0"/>
            <w:vAlign w:val="top"/>
          </w:tcPr>
          <w:p>
            <w:r>
              <w:rPr>
                <w:sz w:val="20"/>
              </w:rPr>
              <w:t>10</w:t>
            </w:r>
          </w:p>
        </w:tc>
        <w:tc>
          <w:tcPr>
            <w:tcW w:w="754" w:type="dxa"/>
            <w:noWrap w:val="0"/>
            <w:vAlign w:val="top"/>
          </w:tcPr>
          <w:p>
            <w:r>
              <w:rPr>
                <w:sz w:val="20"/>
              </w:rPr>
              <w:t>10</w:t>
            </w:r>
          </w:p>
        </w:tc>
        <w:tc>
          <w:tcPr>
            <w:tcW w:w="1850"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695" w:hRule="atLeast"/>
        </w:trPr>
        <w:tc>
          <w:tcPr>
            <w:tcW w:w="996" w:type="dxa"/>
            <w:vMerge w:val="continue"/>
            <w:noWrap w:val="0"/>
            <w:vAlign w:val="top"/>
          </w:tcPr>
          <w:p>
            <w:r>
              <w:rPr>
                <w:sz w:val="20"/>
              </w:rPr>
              <w:t>产出指标</w:t>
            </w:r>
          </w:p>
        </w:tc>
        <w:tc>
          <w:tcPr>
            <w:tcW w:w="1147" w:type="dxa"/>
            <w:vMerge w:val="restart"/>
            <w:noWrap w:val="0"/>
            <w:vAlign w:val="top"/>
          </w:tcPr>
          <w:p>
            <w:r>
              <w:rPr>
                <w:sz w:val="20"/>
              </w:rPr>
              <w:t>时效指标</w:t>
            </w:r>
          </w:p>
        </w:tc>
        <w:tc>
          <w:tcPr>
            <w:tcW w:w="1045" w:type="dxa"/>
            <w:noWrap w:val="0"/>
            <w:vAlign w:val="top"/>
          </w:tcPr>
          <w:p>
            <w:r>
              <w:rPr>
                <w:sz w:val="20"/>
              </w:rPr>
              <w:t>完成时间</w:t>
            </w:r>
          </w:p>
        </w:tc>
        <w:tc>
          <w:tcPr>
            <w:tcW w:w="1163" w:type="dxa"/>
            <w:noWrap w:val="0"/>
            <w:vAlign w:val="top"/>
          </w:tcPr>
          <w:p>
            <w:r>
              <w:rPr>
                <w:sz w:val="20"/>
              </w:rPr>
              <w:t>202</w:t>
            </w:r>
            <w:r>
              <w:rPr>
                <w:rFonts w:hint="eastAsia"/>
                <w:sz w:val="20"/>
                <w:lang w:val="en-US" w:eastAsia="zh-CN"/>
              </w:rPr>
              <w:t>4</w:t>
            </w:r>
            <w:r>
              <w:rPr>
                <w:sz w:val="20"/>
              </w:rPr>
              <w:t>年12月31日前</w:t>
            </w:r>
          </w:p>
        </w:tc>
        <w:tc>
          <w:tcPr>
            <w:tcW w:w="1163" w:type="dxa"/>
            <w:noWrap w:val="0"/>
            <w:vAlign w:val="top"/>
          </w:tcPr>
          <w:p>
            <w:r>
              <w:rPr>
                <w:sz w:val="20"/>
              </w:rPr>
              <w:t>100%</w:t>
            </w:r>
          </w:p>
        </w:tc>
        <w:tc>
          <w:tcPr>
            <w:tcW w:w="754" w:type="dxa"/>
            <w:noWrap w:val="0"/>
            <w:vAlign w:val="top"/>
          </w:tcPr>
          <w:p>
            <w:r>
              <w:rPr>
                <w:sz w:val="20"/>
              </w:rPr>
              <w:t>10</w:t>
            </w:r>
          </w:p>
        </w:tc>
        <w:tc>
          <w:tcPr>
            <w:tcW w:w="754" w:type="dxa"/>
            <w:noWrap w:val="0"/>
            <w:vAlign w:val="top"/>
          </w:tcPr>
          <w:p>
            <w:r>
              <w:rPr>
                <w:sz w:val="20"/>
              </w:rPr>
              <w:t>10</w:t>
            </w:r>
          </w:p>
        </w:tc>
        <w:tc>
          <w:tcPr>
            <w:tcW w:w="1850"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835" w:hRule="atLeast"/>
        </w:trPr>
        <w:tc>
          <w:tcPr>
            <w:tcW w:w="996" w:type="dxa"/>
            <w:vMerge w:val="restart"/>
            <w:noWrap w:val="0"/>
            <w:vAlign w:val="top"/>
          </w:tcPr>
          <w:p>
            <w:r>
              <w:rPr>
                <w:sz w:val="20"/>
              </w:rPr>
              <w:t>效益指标</w:t>
            </w:r>
          </w:p>
        </w:tc>
        <w:tc>
          <w:tcPr>
            <w:tcW w:w="1147" w:type="dxa"/>
            <w:vMerge w:val="restart"/>
            <w:noWrap w:val="0"/>
            <w:vAlign w:val="top"/>
          </w:tcPr>
          <w:p>
            <w:r>
              <w:rPr>
                <w:sz w:val="20"/>
              </w:rPr>
              <w:t>社会效益指标</w:t>
            </w:r>
          </w:p>
        </w:tc>
        <w:tc>
          <w:tcPr>
            <w:tcW w:w="1045" w:type="dxa"/>
            <w:noWrap w:val="0"/>
            <w:vAlign w:val="top"/>
          </w:tcPr>
          <w:p>
            <w:r>
              <w:rPr>
                <w:rFonts w:hint="eastAsia"/>
                <w:sz w:val="20"/>
              </w:rPr>
              <w:t>保障我县治安环境</w:t>
            </w:r>
          </w:p>
        </w:tc>
        <w:tc>
          <w:tcPr>
            <w:tcW w:w="1163" w:type="dxa"/>
            <w:noWrap w:val="0"/>
            <w:vAlign w:val="top"/>
          </w:tcPr>
          <w:p>
            <w:r>
              <w:rPr>
                <w:sz w:val="20"/>
              </w:rPr>
              <w:t>保障</w:t>
            </w:r>
          </w:p>
        </w:tc>
        <w:tc>
          <w:tcPr>
            <w:tcW w:w="1163" w:type="dxa"/>
            <w:noWrap w:val="0"/>
            <w:vAlign w:val="top"/>
          </w:tcPr>
          <w:p>
            <w:r>
              <w:rPr>
                <w:sz w:val="20"/>
              </w:rPr>
              <w:t>100%</w:t>
            </w:r>
          </w:p>
        </w:tc>
        <w:tc>
          <w:tcPr>
            <w:tcW w:w="754" w:type="dxa"/>
            <w:noWrap w:val="0"/>
            <w:vAlign w:val="top"/>
          </w:tcPr>
          <w:p>
            <w:r>
              <w:rPr>
                <w:sz w:val="20"/>
              </w:rPr>
              <w:t>25</w:t>
            </w:r>
          </w:p>
        </w:tc>
        <w:tc>
          <w:tcPr>
            <w:tcW w:w="754" w:type="dxa"/>
            <w:noWrap w:val="0"/>
            <w:vAlign w:val="top"/>
          </w:tcPr>
          <w:p>
            <w:r>
              <w:rPr>
                <w:sz w:val="20"/>
              </w:rPr>
              <w:t>25</w:t>
            </w:r>
          </w:p>
        </w:tc>
        <w:tc>
          <w:tcPr>
            <w:tcW w:w="1850"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48" w:type="dxa"/>
          <w:trHeight w:val="903" w:hRule="atLeast"/>
        </w:trPr>
        <w:tc>
          <w:tcPr>
            <w:tcW w:w="996" w:type="dxa"/>
            <w:noWrap w:val="0"/>
            <w:vAlign w:val="top"/>
          </w:tcPr>
          <w:p>
            <w:pPr>
              <w:pStyle w:val="21"/>
              <w:spacing w:line="240" w:lineRule="exact"/>
              <w:ind w:firstLine="0"/>
              <w:jc w:val="center"/>
              <w:rPr>
                <w:sz w:val="18"/>
                <w:szCs w:val="18"/>
              </w:rPr>
            </w:pPr>
            <w:r>
              <w:rPr>
                <w:sz w:val="20"/>
              </w:rPr>
              <w:t>满意度指标</w:t>
            </w:r>
          </w:p>
        </w:tc>
        <w:tc>
          <w:tcPr>
            <w:tcW w:w="1147" w:type="dxa"/>
            <w:noWrap w:val="0"/>
            <w:vAlign w:val="top"/>
          </w:tcPr>
          <w:p>
            <w:pPr>
              <w:pStyle w:val="21"/>
              <w:spacing w:line="240" w:lineRule="exact"/>
              <w:ind w:firstLine="0"/>
              <w:jc w:val="center"/>
              <w:rPr>
                <w:sz w:val="18"/>
                <w:szCs w:val="18"/>
              </w:rPr>
            </w:pPr>
            <w:r>
              <w:rPr>
                <w:sz w:val="20"/>
              </w:rPr>
              <w:t>服务对象满意度指标</w:t>
            </w:r>
          </w:p>
        </w:tc>
        <w:tc>
          <w:tcPr>
            <w:tcW w:w="1045" w:type="dxa"/>
            <w:noWrap w:val="0"/>
            <w:vAlign w:val="top"/>
          </w:tcPr>
          <w:p>
            <w:pPr>
              <w:pStyle w:val="21"/>
              <w:spacing w:line="240" w:lineRule="exact"/>
              <w:ind w:firstLine="0"/>
              <w:jc w:val="center"/>
              <w:rPr>
                <w:sz w:val="18"/>
                <w:szCs w:val="18"/>
              </w:rPr>
            </w:pPr>
            <w:r>
              <w:rPr>
                <w:sz w:val="20"/>
              </w:rPr>
              <w:t>群众满意度</w:t>
            </w:r>
          </w:p>
        </w:tc>
        <w:tc>
          <w:tcPr>
            <w:tcW w:w="1163" w:type="dxa"/>
            <w:noWrap w:val="0"/>
            <w:vAlign w:val="top"/>
          </w:tcPr>
          <w:p>
            <w:pPr>
              <w:pStyle w:val="21"/>
              <w:spacing w:line="240" w:lineRule="exact"/>
              <w:ind w:firstLine="0"/>
              <w:jc w:val="center"/>
              <w:rPr>
                <w:sz w:val="18"/>
                <w:szCs w:val="18"/>
              </w:rPr>
            </w:pPr>
            <w:r>
              <w:rPr>
                <w:sz w:val="20"/>
              </w:rPr>
              <w:t>≥90%</w:t>
            </w:r>
          </w:p>
        </w:tc>
        <w:tc>
          <w:tcPr>
            <w:tcW w:w="1163" w:type="dxa"/>
            <w:noWrap w:val="0"/>
            <w:vAlign w:val="top"/>
          </w:tcPr>
          <w:p>
            <w:pPr>
              <w:pStyle w:val="21"/>
              <w:spacing w:line="240" w:lineRule="exact"/>
              <w:ind w:firstLine="0"/>
              <w:jc w:val="center"/>
              <w:rPr>
                <w:sz w:val="18"/>
                <w:szCs w:val="18"/>
              </w:rPr>
            </w:pPr>
            <w:r>
              <w:rPr>
                <w:sz w:val="20"/>
              </w:rPr>
              <w:t>9</w:t>
            </w:r>
            <w:r>
              <w:rPr>
                <w:rFonts w:hint="eastAsia"/>
                <w:sz w:val="20"/>
              </w:rPr>
              <w:t>5</w:t>
            </w:r>
            <w:r>
              <w:rPr>
                <w:sz w:val="20"/>
              </w:rPr>
              <w:t>%</w:t>
            </w:r>
          </w:p>
        </w:tc>
        <w:tc>
          <w:tcPr>
            <w:tcW w:w="754" w:type="dxa"/>
            <w:noWrap w:val="0"/>
            <w:vAlign w:val="top"/>
          </w:tcPr>
          <w:p>
            <w:pPr>
              <w:pStyle w:val="21"/>
              <w:spacing w:line="240" w:lineRule="exact"/>
              <w:ind w:firstLine="0"/>
              <w:jc w:val="center"/>
              <w:rPr>
                <w:sz w:val="18"/>
                <w:szCs w:val="18"/>
              </w:rPr>
            </w:pPr>
            <w:r>
              <w:rPr>
                <w:sz w:val="20"/>
              </w:rPr>
              <w:t>5</w:t>
            </w:r>
          </w:p>
        </w:tc>
        <w:tc>
          <w:tcPr>
            <w:tcW w:w="754" w:type="dxa"/>
            <w:noWrap w:val="0"/>
            <w:vAlign w:val="top"/>
          </w:tcPr>
          <w:p>
            <w:pPr>
              <w:pStyle w:val="21"/>
              <w:spacing w:line="240" w:lineRule="exact"/>
              <w:ind w:firstLine="0"/>
              <w:jc w:val="center"/>
              <w:rPr>
                <w:sz w:val="18"/>
                <w:szCs w:val="18"/>
              </w:rPr>
            </w:pPr>
            <w:r>
              <w:rPr>
                <w:sz w:val="20"/>
              </w:rPr>
              <w:t>5</w:t>
            </w:r>
          </w:p>
        </w:tc>
        <w:tc>
          <w:tcPr>
            <w:tcW w:w="1850" w:type="dxa"/>
            <w:noWrap w:val="0"/>
            <w:vAlign w:val="top"/>
          </w:tcPr>
          <w:p>
            <w:pPr>
              <w:pStyle w:val="21"/>
              <w:spacing w:line="240" w:lineRule="exact"/>
              <w:ind w:firstLine="0"/>
              <w:jc w:val="center"/>
              <w:rPr>
                <w:sz w:val="18"/>
                <w:szCs w:val="18"/>
              </w:rPr>
            </w:pPr>
          </w:p>
        </w:tc>
      </w:tr>
    </w:tbl>
    <w:p>
      <w:pPr>
        <w:spacing w:line="360" w:lineRule="auto"/>
        <w:ind w:firstLine="420" w:firstLineChars="200"/>
        <w:rPr>
          <w:rFonts w:ascii="仿宋" w:hAnsi="仿宋" w:eastAsia="仿宋" w:cs="仿宋"/>
          <w:szCs w:val="32"/>
        </w:rPr>
        <w:sectPr>
          <w:pgSz w:w="11906" w:h="16838"/>
          <w:pgMar w:top="2098" w:right="1474" w:bottom="1984" w:left="1587" w:header="720" w:footer="720" w:gutter="0"/>
          <w:pgNumType w:fmt="numberInDash"/>
          <w:cols w:space="720" w:num="1"/>
          <w:docGrid w:type="lines" w:linePitch="312" w:charSpace="0"/>
        </w:sectPr>
      </w:pPr>
    </w:p>
    <w:p>
      <w:pPr>
        <w:pStyle w:val="20"/>
        <w:ind w:left="0" w:leftChars="0"/>
      </w:pPr>
      <w:r>
        <w:rPr>
          <w:rFonts w:eastAsia="仿宋"/>
        </w:rPr>
        <w:t xml:space="preserve">附表1 </w:t>
      </w:r>
      <w:r>
        <w:rPr>
          <w:rFonts w:hint="eastAsia" w:eastAsia="仿宋"/>
        </w:rPr>
        <w:t>自评价</w:t>
      </w:r>
      <w:r>
        <w:rPr>
          <w:rFonts w:eastAsia="仿宋"/>
        </w:rPr>
        <w:t>评分表</w:t>
      </w:r>
    </w:p>
    <w:tbl>
      <w:tblPr>
        <w:tblStyle w:val="3"/>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7"/>
        <w:gridCol w:w="1114"/>
        <w:gridCol w:w="1015"/>
        <w:gridCol w:w="1130"/>
        <w:gridCol w:w="1130"/>
        <w:gridCol w:w="732"/>
        <w:gridCol w:w="732"/>
        <w:gridCol w:w="1795"/>
        <w:gridCol w:w="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647" w:type="dxa"/>
            <w:gridSpan w:val="9"/>
            <w:shd w:val="clear" w:color="auto" w:fill="BFBFBF"/>
            <w:noWrap w:val="0"/>
            <w:vAlign w:val="top"/>
          </w:tcPr>
          <w:p>
            <w:pPr>
              <w:spacing w:line="240" w:lineRule="atLeast"/>
              <w:jc w:val="center"/>
              <w:rPr>
                <w:rFonts w:ascii="黑体" w:hAnsi="黑体" w:eastAsia="黑体" w:cs="Arial"/>
                <w:b/>
                <w:bCs/>
                <w:szCs w:val="28"/>
              </w:rPr>
            </w:pPr>
            <w:r>
              <w:rPr>
                <w:rFonts w:hint="eastAsia" w:ascii="仿宋" w:hAnsi="仿宋" w:eastAsia="仿宋" w:cs="仿宋"/>
                <w:b/>
                <w:bCs/>
                <w:sz w:val="24"/>
              </w:rPr>
              <w:t>自评价评分附件表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vMerge w:val="restart"/>
            <w:noWrap w:val="0"/>
            <w:vAlign w:val="top"/>
          </w:tcPr>
          <w:p>
            <w:r>
              <w:rPr>
                <w:sz w:val="20"/>
              </w:rPr>
              <w:t>一级指标</w:t>
            </w:r>
          </w:p>
        </w:tc>
        <w:tc>
          <w:tcPr>
            <w:tcW w:w="1114" w:type="dxa"/>
            <w:vMerge w:val="restart"/>
            <w:noWrap w:val="0"/>
            <w:vAlign w:val="top"/>
          </w:tcPr>
          <w:p>
            <w:r>
              <w:rPr>
                <w:sz w:val="20"/>
              </w:rPr>
              <w:t>二级指标</w:t>
            </w:r>
          </w:p>
        </w:tc>
        <w:tc>
          <w:tcPr>
            <w:tcW w:w="1015" w:type="dxa"/>
            <w:noWrap w:val="0"/>
            <w:vAlign w:val="top"/>
          </w:tcPr>
          <w:p>
            <w:r>
              <w:rPr>
                <w:sz w:val="20"/>
              </w:rPr>
              <w:t>三级指标</w:t>
            </w:r>
          </w:p>
        </w:tc>
        <w:tc>
          <w:tcPr>
            <w:tcW w:w="1130" w:type="dxa"/>
            <w:noWrap w:val="0"/>
            <w:vAlign w:val="top"/>
          </w:tcPr>
          <w:p>
            <w:r>
              <w:rPr>
                <w:sz w:val="20"/>
              </w:rPr>
              <w:t>年度目标值</w:t>
            </w:r>
          </w:p>
        </w:tc>
        <w:tc>
          <w:tcPr>
            <w:tcW w:w="1130" w:type="dxa"/>
            <w:noWrap w:val="0"/>
            <w:vAlign w:val="top"/>
          </w:tcPr>
          <w:p>
            <w:r>
              <w:rPr>
                <w:sz w:val="20"/>
              </w:rPr>
              <w:t>实际完成值</w:t>
            </w:r>
          </w:p>
        </w:tc>
        <w:tc>
          <w:tcPr>
            <w:tcW w:w="732" w:type="dxa"/>
            <w:noWrap w:val="0"/>
            <w:vAlign w:val="top"/>
          </w:tcPr>
          <w:p>
            <w:r>
              <w:rPr>
                <w:sz w:val="20"/>
              </w:rPr>
              <w:t>分值</w:t>
            </w:r>
          </w:p>
        </w:tc>
        <w:tc>
          <w:tcPr>
            <w:tcW w:w="732" w:type="dxa"/>
            <w:noWrap w:val="0"/>
            <w:vAlign w:val="top"/>
          </w:tcPr>
          <w:p>
            <w:r>
              <w:rPr>
                <w:sz w:val="20"/>
              </w:rPr>
              <w:t>得分</w:t>
            </w:r>
          </w:p>
        </w:tc>
        <w:tc>
          <w:tcPr>
            <w:tcW w:w="1795" w:type="dxa"/>
            <w:noWrap w:val="0"/>
            <w:vAlign w:val="top"/>
          </w:tcPr>
          <w:p>
            <w:r>
              <w:rPr>
                <w:sz w:val="20"/>
              </w:rPr>
              <w:t>偏差原因分析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vMerge w:val="restart"/>
            <w:noWrap w:val="0"/>
            <w:vAlign w:val="top"/>
          </w:tcPr>
          <w:p>
            <w:r>
              <w:rPr>
                <w:sz w:val="20"/>
              </w:rPr>
              <w:t>成本指标</w:t>
            </w:r>
          </w:p>
        </w:tc>
        <w:tc>
          <w:tcPr>
            <w:tcW w:w="1114" w:type="dxa"/>
            <w:vMerge w:val="restart"/>
            <w:noWrap w:val="0"/>
            <w:vAlign w:val="top"/>
          </w:tcPr>
          <w:p>
            <w:r>
              <w:rPr>
                <w:sz w:val="20"/>
              </w:rPr>
              <w:t>经济成本指标</w:t>
            </w:r>
          </w:p>
        </w:tc>
        <w:tc>
          <w:tcPr>
            <w:tcW w:w="1015" w:type="dxa"/>
            <w:noWrap w:val="0"/>
            <w:vAlign w:val="top"/>
          </w:tcPr>
          <w:p>
            <w:r>
              <w:rPr>
                <w:sz w:val="20"/>
              </w:rPr>
              <w:t>总成本</w:t>
            </w:r>
          </w:p>
        </w:tc>
        <w:tc>
          <w:tcPr>
            <w:tcW w:w="1130" w:type="dxa"/>
            <w:noWrap w:val="0"/>
            <w:vAlign w:val="top"/>
          </w:tcPr>
          <w:p>
            <w:r>
              <w:rPr>
                <w:sz w:val="20"/>
              </w:rPr>
              <w:t>≤</w:t>
            </w:r>
            <w:r>
              <w:rPr>
                <w:rFonts w:hint="eastAsia"/>
                <w:sz w:val="20"/>
              </w:rPr>
              <w:t>97</w:t>
            </w:r>
            <w:r>
              <w:rPr>
                <w:sz w:val="20"/>
              </w:rPr>
              <w:t>万元</w:t>
            </w:r>
          </w:p>
        </w:tc>
        <w:tc>
          <w:tcPr>
            <w:tcW w:w="1130" w:type="dxa"/>
            <w:noWrap w:val="0"/>
            <w:vAlign w:val="top"/>
          </w:tcPr>
          <w:p>
            <w:r>
              <w:rPr>
                <w:rFonts w:hint="eastAsia"/>
                <w:sz w:val="20"/>
              </w:rPr>
              <w:t>96.61万元</w:t>
            </w:r>
          </w:p>
        </w:tc>
        <w:tc>
          <w:tcPr>
            <w:tcW w:w="732" w:type="dxa"/>
            <w:noWrap w:val="0"/>
            <w:vAlign w:val="top"/>
          </w:tcPr>
          <w:p>
            <w:r>
              <w:rPr>
                <w:sz w:val="20"/>
              </w:rPr>
              <w:t>10</w:t>
            </w:r>
          </w:p>
        </w:tc>
        <w:tc>
          <w:tcPr>
            <w:tcW w:w="732" w:type="dxa"/>
            <w:noWrap w:val="0"/>
            <w:vAlign w:val="top"/>
          </w:tcPr>
          <w:p>
            <w:r>
              <w:rPr>
                <w:sz w:val="20"/>
              </w:rPr>
              <w:t>10</w:t>
            </w:r>
          </w:p>
        </w:tc>
        <w:tc>
          <w:tcPr>
            <w:tcW w:w="1795"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vMerge w:val="restart"/>
            <w:noWrap w:val="0"/>
            <w:vAlign w:val="top"/>
          </w:tcPr>
          <w:p>
            <w:r>
              <w:rPr>
                <w:sz w:val="20"/>
              </w:rPr>
              <w:t>产出指标</w:t>
            </w:r>
          </w:p>
        </w:tc>
        <w:tc>
          <w:tcPr>
            <w:tcW w:w="1114" w:type="dxa"/>
            <w:noWrap w:val="0"/>
            <w:vAlign w:val="top"/>
          </w:tcPr>
          <w:p>
            <w:r>
              <w:rPr>
                <w:sz w:val="20"/>
              </w:rPr>
              <w:t>数量指标</w:t>
            </w:r>
          </w:p>
        </w:tc>
        <w:tc>
          <w:tcPr>
            <w:tcW w:w="1015" w:type="dxa"/>
            <w:noWrap w:val="0"/>
            <w:vAlign w:val="top"/>
          </w:tcPr>
          <w:p>
            <w:r>
              <w:rPr>
                <w:rFonts w:hint="eastAsia"/>
                <w:sz w:val="20"/>
              </w:rPr>
              <w:t>督导</w:t>
            </w:r>
            <w:r>
              <w:rPr>
                <w:rFonts w:hint="eastAsia"/>
                <w:sz w:val="20"/>
                <w:lang w:val="en-US" w:eastAsia="zh-CN"/>
              </w:rPr>
              <w:t>巡查次数</w:t>
            </w:r>
          </w:p>
        </w:tc>
        <w:tc>
          <w:tcPr>
            <w:tcW w:w="1130" w:type="dxa"/>
            <w:noWrap w:val="0"/>
            <w:vAlign w:val="top"/>
          </w:tcPr>
          <w:p>
            <w:r>
              <w:rPr>
                <w:sz w:val="20"/>
              </w:rPr>
              <w:t>≥</w:t>
            </w:r>
            <w:r>
              <w:rPr>
                <w:rFonts w:hint="eastAsia"/>
                <w:sz w:val="20"/>
              </w:rPr>
              <w:t>10</w:t>
            </w:r>
            <w:r>
              <w:rPr>
                <w:rFonts w:hint="eastAsia"/>
                <w:sz w:val="20"/>
                <w:lang w:val="en-US" w:eastAsia="zh-CN"/>
              </w:rPr>
              <w:t>0次</w:t>
            </w:r>
          </w:p>
        </w:tc>
        <w:tc>
          <w:tcPr>
            <w:tcW w:w="1130" w:type="dxa"/>
            <w:noWrap w:val="0"/>
            <w:vAlign w:val="top"/>
          </w:tcPr>
          <w:p>
            <w:r>
              <w:rPr>
                <w:rFonts w:hint="eastAsia"/>
                <w:sz w:val="20"/>
              </w:rPr>
              <w:t>10</w:t>
            </w:r>
            <w:r>
              <w:rPr>
                <w:rFonts w:hint="eastAsia"/>
                <w:sz w:val="20"/>
                <w:lang w:val="en-US" w:eastAsia="zh-CN"/>
              </w:rPr>
              <w:t>0次</w:t>
            </w:r>
          </w:p>
        </w:tc>
        <w:tc>
          <w:tcPr>
            <w:tcW w:w="732" w:type="dxa"/>
            <w:noWrap w:val="0"/>
            <w:vAlign w:val="top"/>
          </w:tcPr>
          <w:p>
            <w:r>
              <w:rPr>
                <w:rFonts w:hint="eastAsia"/>
                <w:sz w:val="20"/>
              </w:rPr>
              <w:t>10</w:t>
            </w:r>
          </w:p>
        </w:tc>
        <w:tc>
          <w:tcPr>
            <w:tcW w:w="732" w:type="dxa"/>
            <w:noWrap w:val="0"/>
            <w:vAlign w:val="top"/>
          </w:tcPr>
          <w:p>
            <w:r>
              <w:rPr>
                <w:rFonts w:hint="eastAsia"/>
                <w:sz w:val="20"/>
              </w:rPr>
              <w:t>10</w:t>
            </w:r>
          </w:p>
        </w:tc>
        <w:tc>
          <w:tcPr>
            <w:tcW w:w="1795"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vMerge w:val="continue"/>
            <w:noWrap w:val="0"/>
            <w:vAlign w:val="top"/>
          </w:tcPr>
          <w:p>
            <w:r>
              <w:rPr>
                <w:sz w:val="20"/>
              </w:rPr>
              <w:t>产出指标</w:t>
            </w:r>
          </w:p>
        </w:tc>
        <w:tc>
          <w:tcPr>
            <w:tcW w:w="1114" w:type="dxa"/>
            <w:noWrap w:val="0"/>
            <w:vAlign w:val="top"/>
          </w:tcPr>
          <w:p>
            <w:r>
              <w:rPr>
                <w:sz w:val="20"/>
              </w:rPr>
              <w:t>质量指标</w:t>
            </w:r>
          </w:p>
        </w:tc>
        <w:tc>
          <w:tcPr>
            <w:tcW w:w="1015" w:type="dxa"/>
            <w:noWrap w:val="0"/>
            <w:vAlign w:val="top"/>
          </w:tcPr>
          <w:p>
            <w:r>
              <w:rPr>
                <w:rFonts w:hint="eastAsia"/>
                <w:sz w:val="20"/>
              </w:rPr>
              <w:t>督导</w:t>
            </w:r>
            <w:r>
              <w:rPr>
                <w:rFonts w:hint="eastAsia"/>
                <w:sz w:val="20"/>
                <w:lang w:val="en-US" w:eastAsia="zh-CN"/>
              </w:rPr>
              <w:t>巡查</w:t>
            </w:r>
            <w:r>
              <w:rPr>
                <w:rFonts w:hint="eastAsia"/>
                <w:sz w:val="20"/>
              </w:rPr>
              <w:t>完成率</w:t>
            </w:r>
          </w:p>
        </w:tc>
        <w:tc>
          <w:tcPr>
            <w:tcW w:w="1130" w:type="dxa"/>
            <w:noWrap w:val="0"/>
            <w:vAlign w:val="top"/>
          </w:tcPr>
          <w:p>
            <w:r>
              <w:rPr>
                <w:sz w:val="20"/>
              </w:rPr>
              <w:t>≥</w:t>
            </w:r>
            <w:r>
              <w:rPr>
                <w:rFonts w:hint="eastAsia"/>
                <w:sz w:val="20"/>
              </w:rPr>
              <w:t>90</w:t>
            </w:r>
            <w:r>
              <w:rPr>
                <w:sz w:val="20"/>
              </w:rPr>
              <w:t>%</w:t>
            </w:r>
          </w:p>
        </w:tc>
        <w:tc>
          <w:tcPr>
            <w:tcW w:w="1130" w:type="dxa"/>
            <w:noWrap w:val="0"/>
            <w:vAlign w:val="top"/>
          </w:tcPr>
          <w:p>
            <w:r>
              <w:rPr>
                <w:sz w:val="20"/>
              </w:rPr>
              <w:t>100%</w:t>
            </w:r>
          </w:p>
        </w:tc>
        <w:tc>
          <w:tcPr>
            <w:tcW w:w="732" w:type="dxa"/>
            <w:noWrap w:val="0"/>
            <w:vAlign w:val="top"/>
          </w:tcPr>
          <w:p>
            <w:r>
              <w:rPr>
                <w:rFonts w:hint="eastAsia"/>
                <w:sz w:val="20"/>
              </w:rPr>
              <w:t>10</w:t>
            </w:r>
          </w:p>
        </w:tc>
        <w:tc>
          <w:tcPr>
            <w:tcW w:w="732" w:type="dxa"/>
            <w:noWrap w:val="0"/>
            <w:vAlign w:val="top"/>
          </w:tcPr>
          <w:p>
            <w:r>
              <w:rPr>
                <w:rFonts w:hint="eastAsia"/>
                <w:sz w:val="20"/>
              </w:rPr>
              <w:t>10</w:t>
            </w:r>
          </w:p>
        </w:tc>
        <w:tc>
          <w:tcPr>
            <w:tcW w:w="1795"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vMerge w:val="continue"/>
            <w:noWrap w:val="0"/>
            <w:vAlign w:val="top"/>
          </w:tcPr>
          <w:p>
            <w:r>
              <w:rPr>
                <w:sz w:val="20"/>
              </w:rPr>
              <w:t>产出指标</w:t>
            </w:r>
          </w:p>
        </w:tc>
        <w:tc>
          <w:tcPr>
            <w:tcW w:w="1114" w:type="dxa"/>
            <w:noWrap w:val="0"/>
            <w:vAlign w:val="top"/>
          </w:tcPr>
          <w:p>
            <w:r>
              <w:rPr>
                <w:sz w:val="20"/>
              </w:rPr>
              <w:t>时效指标</w:t>
            </w:r>
          </w:p>
        </w:tc>
        <w:tc>
          <w:tcPr>
            <w:tcW w:w="1015" w:type="dxa"/>
            <w:noWrap w:val="0"/>
            <w:vAlign w:val="top"/>
          </w:tcPr>
          <w:p>
            <w:r>
              <w:rPr>
                <w:sz w:val="20"/>
              </w:rPr>
              <w:t>完成时间</w:t>
            </w:r>
          </w:p>
        </w:tc>
        <w:tc>
          <w:tcPr>
            <w:tcW w:w="1130" w:type="dxa"/>
            <w:noWrap w:val="0"/>
            <w:vAlign w:val="top"/>
          </w:tcPr>
          <w:p>
            <w:r>
              <w:rPr>
                <w:sz w:val="20"/>
              </w:rPr>
              <w:t>202</w:t>
            </w:r>
            <w:r>
              <w:rPr>
                <w:rFonts w:hint="eastAsia"/>
                <w:sz w:val="20"/>
                <w:lang w:val="en-US" w:eastAsia="zh-CN"/>
              </w:rPr>
              <w:t>4</w:t>
            </w:r>
            <w:r>
              <w:rPr>
                <w:sz w:val="20"/>
              </w:rPr>
              <w:t>年12月31日前</w:t>
            </w:r>
          </w:p>
        </w:tc>
        <w:tc>
          <w:tcPr>
            <w:tcW w:w="1130" w:type="dxa"/>
            <w:noWrap w:val="0"/>
            <w:vAlign w:val="top"/>
          </w:tcPr>
          <w:p>
            <w:r>
              <w:rPr>
                <w:sz w:val="20"/>
              </w:rPr>
              <w:t>100%</w:t>
            </w:r>
          </w:p>
        </w:tc>
        <w:tc>
          <w:tcPr>
            <w:tcW w:w="732" w:type="dxa"/>
            <w:noWrap w:val="0"/>
            <w:vAlign w:val="top"/>
          </w:tcPr>
          <w:p>
            <w:r>
              <w:rPr>
                <w:sz w:val="20"/>
              </w:rPr>
              <w:t>10</w:t>
            </w:r>
          </w:p>
        </w:tc>
        <w:tc>
          <w:tcPr>
            <w:tcW w:w="732" w:type="dxa"/>
            <w:noWrap w:val="0"/>
            <w:vAlign w:val="top"/>
          </w:tcPr>
          <w:p>
            <w:r>
              <w:rPr>
                <w:sz w:val="20"/>
              </w:rPr>
              <w:t>10</w:t>
            </w:r>
          </w:p>
        </w:tc>
        <w:tc>
          <w:tcPr>
            <w:tcW w:w="1795"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vMerge w:val="restart"/>
            <w:noWrap w:val="0"/>
            <w:vAlign w:val="top"/>
          </w:tcPr>
          <w:p>
            <w:r>
              <w:rPr>
                <w:sz w:val="20"/>
              </w:rPr>
              <w:t>效益指标</w:t>
            </w:r>
          </w:p>
        </w:tc>
        <w:tc>
          <w:tcPr>
            <w:tcW w:w="1114" w:type="dxa"/>
            <w:vMerge w:val="restart"/>
            <w:noWrap w:val="0"/>
            <w:vAlign w:val="top"/>
          </w:tcPr>
          <w:p>
            <w:r>
              <w:rPr>
                <w:sz w:val="20"/>
              </w:rPr>
              <w:t>社会效益指标</w:t>
            </w:r>
          </w:p>
        </w:tc>
        <w:tc>
          <w:tcPr>
            <w:tcW w:w="1015" w:type="dxa"/>
            <w:noWrap w:val="0"/>
            <w:vAlign w:val="top"/>
          </w:tcPr>
          <w:p>
            <w:r>
              <w:rPr>
                <w:rFonts w:hint="eastAsia"/>
                <w:sz w:val="20"/>
              </w:rPr>
              <w:t>提高全县安全环境</w:t>
            </w:r>
          </w:p>
        </w:tc>
        <w:tc>
          <w:tcPr>
            <w:tcW w:w="1130" w:type="dxa"/>
            <w:noWrap w:val="0"/>
            <w:vAlign w:val="top"/>
          </w:tcPr>
          <w:p>
            <w:r>
              <w:rPr>
                <w:sz w:val="20"/>
              </w:rPr>
              <w:t>提</w:t>
            </w:r>
            <w:r>
              <w:rPr>
                <w:rFonts w:hint="eastAsia"/>
                <w:sz w:val="20"/>
              </w:rPr>
              <w:t>高</w:t>
            </w:r>
          </w:p>
        </w:tc>
        <w:tc>
          <w:tcPr>
            <w:tcW w:w="1130" w:type="dxa"/>
            <w:noWrap w:val="0"/>
            <w:vAlign w:val="top"/>
          </w:tcPr>
          <w:p>
            <w:r>
              <w:rPr>
                <w:sz w:val="20"/>
              </w:rPr>
              <w:t>100%</w:t>
            </w:r>
          </w:p>
        </w:tc>
        <w:tc>
          <w:tcPr>
            <w:tcW w:w="732" w:type="dxa"/>
            <w:noWrap w:val="0"/>
            <w:vAlign w:val="top"/>
          </w:tcPr>
          <w:p>
            <w:r>
              <w:rPr>
                <w:sz w:val="20"/>
              </w:rPr>
              <w:t>25</w:t>
            </w:r>
          </w:p>
        </w:tc>
        <w:tc>
          <w:tcPr>
            <w:tcW w:w="732" w:type="dxa"/>
            <w:noWrap w:val="0"/>
            <w:vAlign w:val="top"/>
          </w:tcPr>
          <w:p>
            <w:r>
              <w:rPr>
                <w:sz w:val="20"/>
              </w:rPr>
              <w:t>25</w:t>
            </w:r>
          </w:p>
        </w:tc>
        <w:tc>
          <w:tcPr>
            <w:tcW w:w="1795" w:type="dxa"/>
            <w:noWrap w:val="0"/>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32" w:type="dxa"/>
          <w:trHeight w:val="500" w:hRule="atLeast"/>
        </w:trPr>
        <w:tc>
          <w:tcPr>
            <w:tcW w:w="967" w:type="dxa"/>
            <w:noWrap w:val="0"/>
            <w:vAlign w:val="top"/>
          </w:tcPr>
          <w:p>
            <w:pPr>
              <w:pStyle w:val="21"/>
              <w:spacing w:line="240" w:lineRule="exact"/>
              <w:ind w:firstLine="0"/>
              <w:jc w:val="center"/>
              <w:rPr>
                <w:sz w:val="18"/>
                <w:szCs w:val="18"/>
              </w:rPr>
            </w:pPr>
            <w:r>
              <w:rPr>
                <w:sz w:val="20"/>
              </w:rPr>
              <w:t>满意度指标</w:t>
            </w:r>
          </w:p>
        </w:tc>
        <w:tc>
          <w:tcPr>
            <w:tcW w:w="1114" w:type="dxa"/>
            <w:noWrap w:val="0"/>
            <w:vAlign w:val="top"/>
          </w:tcPr>
          <w:p>
            <w:pPr>
              <w:pStyle w:val="21"/>
              <w:spacing w:line="240" w:lineRule="exact"/>
              <w:ind w:firstLine="0"/>
              <w:jc w:val="center"/>
              <w:rPr>
                <w:sz w:val="18"/>
                <w:szCs w:val="18"/>
              </w:rPr>
            </w:pPr>
            <w:r>
              <w:rPr>
                <w:sz w:val="20"/>
              </w:rPr>
              <w:t>服务对象满意度指标</w:t>
            </w:r>
          </w:p>
        </w:tc>
        <w:tc>
          <w:tcPr>
            <w:tcW w:w="1015" w:type="dxa"/>
            <w:noWrap w:val="0"/>
            <w:vAlign w:val="top"/>
          </w:tcPr>
          <w:p>
            <w:pPr>
              <w:pStyle w:val="21"/>
              <w:spacing w:line="240" w:lineRule="exact"/>
              <w:ind w:firstLine="0"/>
              <w:jc w:val="center"/>
              <w:rPr>
                <w:sz w:val="18"/>
                <w:szCs w:val="18"/>
              </w:rPr>
            </w:pPr>
            <w:r>
              <w:rPr>
                <w:sz w:val="20"/>
              </w:rPr>
              <w:t>人民群众满意度</w:t>
            </w:r>
          </w:p>
        </w:tc>
        <w:tc>
          <w:tcPr>
            <w:tcW w:w="1130" w:type="dxa"/>
            <w:noWrap w:val="0"/>
            <w:vAlign w:val="top"/>
          </w:tcPr>
          <w:p>
            <w:pPr>
              <w:pStyle w:val="21"/>
              <w:spacing w:line="240" w:lineRule="exact"/>
              <w:ind w:firstLine="0"/>
              <w:jc w:val="center"/>
              <w:rPr>
                <w:sz w:val="18"/>
                <w:szCs w:val="18"/>
              </w:rPr>
            </w:pPr>
            <w:r>
              <w:rPr>
                <w:sz w:val="20"/>
              </w:rPr>
              <w:t>≥90%</w:t>
            </w:r>
          </w:p>
        </w:tc>
        <w:tc>
          <w:tcPr>
            <w:tcW w:w="1130" w:type="dxa"/>
            <w:noWrap w:val="0"/>
            <w:vAlign w:val="top"/>
          </w:tcPr>
          <w:p>
            <w:pPr>
              <w:pStyle w:val="21"/>
              <w:spacing w:line="240" w:lineRule="exact"/>
              <w:ind w:firstLine="0"/>
              <w:jc w:val="center"/>
              <w:rPr>
                <w:sz w:val="18"/>
                <w:szCs w:val="18"/>
              </w:rPr>
            </w:pPr>
            <w:r>
              <w:rPr>
                <w:sz w:val="20"/>
              </w:rPr>
              <w:t>9</w:t>
            </w:r>
            <w:r>
              <w:rPr>
                <w:rFonts w:hint="eastAsia"/>
                <w:sz w:val="20"/>
              </w:rPr>
              <w:t>5</w:t>
            </w:r>
            <w:r>
              <w:rPr>
                <w:sz w:val="20"/>
              </w:rPr>
              <w:t>%</w:t>
            </w:r>
          </w:p>
        </w:tc>
        <w:tc>
          <w:tcPr>
            <w:tcW w:w="732" w:type="dxa"/>
            <w:noWrap w:val="0"/>
            <w:vAlign w:val="top"/>
          </w:tcPr>
          <w:p>
            <w:pPr>
              <w:pStyle w:val="21"/>
              <w:spacing w:line="240" w:lineRule="exact"/>
              <w:ind w:firstLine="0"/>
              <w:jc w:val="center"/>
              <w:rPr>
                <w:sz w:val="18"/>
                <w:szCs w:val="18"/>
              </w:rPr>
            </w:pPr>
            <w:r>
              <w:rPr>
                <w:sz w:val="20"/>
              </w:rPr>
              <w:t>5</w:t>
            </w:r>
          </w:p>
        </w:tc>
        <w:tc>
          <w:tcPr>
            <w:tcW w:w="732" w:type="dxa"/>
            <w:noWrap w:val="0"/>
            <w:vAlign w:val="top"/>
          </w:tcPr>
          <w:p>
            <w:pPr>
              <w:pStyle w:val="21"/>
              <w:spacing w:line="240" w:lineRule="exact"/>
              <w:ind w:firstLine="0"/>
              <w:jc w:val="center"/>
              <w:rPr>
                <w:sz w:val="18"/>
                <w:szCs w:val="18"/>
              </w:rPr>
            </w:pPr>
            <w:r>
              <w:rPr>
                <w:sz w:val="20"/>
              </w:rPr>
              <w:t>5</w:t>
            </w:r>
          </w:p>
        </w:tc>
        <w:tc>
          <w:tcPr>
            <w:tcW w:w="1795" w:type="dxa"/>
            <w:noWrap w:val="0"/>
            <w:vAlign w:val="top"/>
          </w:tcPr>
          <w:p>
            <w:pPr>
              <w:pStyle w:val="21"/>
              <w:spacing w:line="240" w:lineRule="exact"/>
              <w:ind w:firstLine="0"/>
              <w:jc w:val="center"/>
              <w:rPr>
                <w:sz w:val="18"/>
                <w:szCs w:val="18"/>
              </w:rPr>
            </w:pPr>
          </w:p>
        </w:tc>
      </w:tr>
    </w:tbl>
    <w:p>
      <w:pPr>
        <w:spacing w:line="360" w:lineRule="auto"/>
        <w:ind w:firstLine="420" w:firstLineChars="200"/>
        <w:rPr>
          <w:rFonts w:ascii="仿宋" w:hAnsi="仿宋" w:eastAsia="仿宋" w:cs="仿宋"/>
          <w:szCs w:val="32"/>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98.95</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r>
        <w:drawing>
          <wp:inline distT="0" distB="0" distL="114300" distR="114300">
            <wp:extent cx="5268595" cy="8195310"/>
            <wp:effectExtent l="0" t="0" r="8255" b="1524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6"/>
                    <a:stretch>
                      <a:fillRect/>
                    </a:stretch>
                  </pic:blipFill>
                  <pic:spPr>
                    <a:xfrm>
                      <a:off x="0" y="0"/>
                      <a:ext cx="5268595" cy="8195310"/>
                    </a:xfrm>
                    <a:prstGeom prst="rect">
                      <a:avLst/>
                    </a:prstGeom>
                    <a:noFill/>
                    <a:ln>
                      <a:noFill/>
                    </a:ln>
                  </pic:spPr>
                </pic:pic>
              </a:graphicData>
            </a:graphic>
          </wp:inline>
        </w:drawing>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lang w:val="en-US" w:eastAsia="zh-CN"/>
        </w:rPr>
        <w:t>我部门未对2024年度预算项目开展部门评价，财政部门也未选取我部门2024年度预算项目开展财政重点评价。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仿宋_GB2312">
    <w:altName w:val="方正仿宋_GBK"/>
    <w:panose1 w:val="02010609030101010101"/>
    <w:charset w:val="00"/>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华文中宋">
    <w:altName w:val="汉仪中宋简"/>
    <w:panose1 w:val="02010600040101010101"/>
    <w:charset w:val="00"/>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q8dDJAQAAmQMAAA4AAABkcnMv&#10;ZTJvRG9jLnhtbK1TzY7TMBC+I/EOlu/UaZFWVdR0BaoWISFAWngA17EbS/6Tx23SF4A34MSFO8/V&#10;52DsJN1lueyBizOeGX/zfTOTze1gDTnJCNq7hi4XFSXSCd9qd2jo1y93r9aUQOKu5cY72dCzBHq7&#10;ffli04darnznTSsjQRAHdR8a2qUUasZAdNJyWPggHQaVj5YnvMYDayPvEd0atqqqG9b72IbohQRA&#10;724M0gkxPgfQK6WF3HlxtNKlETVKwxNKgk4HoNvCVikp0ielQCZiGopKUzmxCNr7fLLthteHyEOn&#10;xUSBP4fCE02Wa4dFr1A7njg5Rv0PlNUievAqLYS3bBRSOoIqltWT3tx3PMiiBVsN4dp0+H+w4uPp&#10;cyS6behrShy3OPDLj++Xn78vv76Rm9yePkCNWfcB89Lw1g+4NLMf0JlVDyra/EU9BOPY3PO1uXJI&#10;RORH69V6XWFIYGy+ID57eB4ipHfSW5KNhkacXmkqP32ANKbOKbma83famDJB4/5yIGb2sMx95Jit&#10;NOyHSdDet2fU0+PgG+pwzykx7x32Ne/IbMTZ2M/GMUR96JDasvCC8OaYkEThliuMsFNhnFhRN21X&#10;XonH95L18Edt/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rx0M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KoW0u7MAQAAnAMAAA4AAABkcnMv&#10;ZTJvRG9jLnhtbK1TS27bMBDdF8gdCO5jylq0hmA5SGCkCBC0BdIegKYoiwB/4NCWfIH2Bl11033P&#10;5XN0SElOm26y6IYazgzfvDczWt8MRpOjDKCcrelyUVAirXCNsvuafvl8f72iBCK3DdfOypqeJNCb&#10;zdWbde8rWbrO6UYGgiAWqt7XtIvRV4yB6KThsHBeWgy2Lhge8Rr2rAm8R3SjWVkUb1nvQuODExIA&#10;vdsxSCfE8BpA17ZKyK0TByNtHFGD1DyiJOiUB7rJbNtWivixbUFGomuKSmM+sQjau3SyzZpX+8B9&#10;p8REgb+GwgtNhiuLRS9QWx45OQT1D5RRIjhwbVwIZ9goJHcEVSyLF7156riXWQu2Gvyl6fD/YMWH&#10;46dAVFPTkhLLDQ78/P3b+cev88+vZFmU71KHeg8VJj55TI3DnRtwb2Y/oDMJH9pg0hclEYxjf0+X&#10;/sohEpEercrVqsCQwNh8QXz2/NwHiO+lMyQZNQ04wNxXfnyEOKbOKamadfdK6zxEbf9yIGbysMR9&#10;5JisOOyGSdDONSfU0+Psa2px1SnRDxZbm9ZkNsJs7Gbj4IPad0htmXmBvz1EJJG5pQoj7FQYh5bV&#10;TQuWtuLPe856/qk2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DOqXm5zwAAAAUBAAAPAAAAAAAA&#10;AAEAIAAAADgAAABkcnMvZG93bnJldi54bWxQSwECFAAUAAAACACHTuJAqhbS7swBAACcAwAADgAA&#10;AAAAAAABACAAAAA0AQAAZHJzL2Uyb0RvYy54bWxQSwUGAAAAAAYABgBZAQAAcgU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ClEHg3JAQAAmQMAAA4AAABkcnMv&#10;ZTJvRG9jLnhtbK1TzY7TMBC+I/EOlu/UaYW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KUQeDc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FEB4AF"/>
    <w:multiLevelType w:val="singleLevel"/>
    <w:tmpl w:val="EDFEB4AF"/>
    <w:lvl w:ilvl="0" w:tentative="0">
      <w:start w:val="4"/>
      <w:numFmt w:val="chineseCounting"/>
      <w:suff w:val="space"/>
      <w:lvlText w:val="第%1部分"/>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70A90"/>
    <w:rsid w:val="377F43E6"/>
    <w:rsid w:val="418653D0"/>
    <w:rsid w:val="44814106"/>
    <w:rsid w:val="72B82119"/>
    <w:rsid w:val="7668251B"/>
    <w:rsid w:val="FBEBFC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Cambria" w:hAnsi="Cambria" w:eastAsia="宋体" w:cs="Times New Roman"/>
      <w:b/>
      <w:bCs/>
      <w:szCs w:val="32"/>
    </w:rPr>
  </w:style>
  <w:style w:type="character" w:default="1" w:styleId="5">
    <w:name w:val="Default Paragraph Font"/>
    <w:unhideWhenUsed/>
    <w:qFormat/>
    <w:uiPriority w:val="1"/>
  </w:style>
  <w:style w:type="table" w:default="1" w:styleId="3">
    <w:name w:val="Normal Table"/>
    <w:unhideWhenUsed/>
    <w:qFormat/>
    <w:uiPriority w:val="99"/>
    <w:tblPr>
      <w:tblCellMar>
        <w:top w:w="0" w:type="dxa"/>
        <w:left w:w="108" w:type="dxa"/>
        <w:bottom w:w="0" w:type="dxa"/>
        <w:right w:w="108" w:type="dxa"/>
      </w:tblCellMar>
    </w:tbl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6">
    <w:name w:val="Hyperlink"/>
    <w:unhideWhenUsed/>
    <w:qFormat/>
    <w:uiPriority w:val="99"/>
    <w:rPr>
      <w:color w:val="0000FF"/>
      <w:u w:val="single"/>
    </w:rPr>
  </w:style>
  <w:style w:type="character" w:customStyle="1" w:styleId="7">
    <w:name w:val="已访问的超链接1"/>
    <w:unhideWhenUsed/>
    <w:uiPriority w:val="99"/>
    <w:rPr>
      <w:color w:val="800080"/>
      <w:u w:val="single"/>
    </w:rPr>
  </w:style>
  <w:style w:type="character" w:customStyle="1" w:styleId="8">
    <w:name w:val="font51"/>
    <w:uiPriority w:val="0"/>
    <w:rPr>
      <w:rFonts w:hint="eastAsia" w:ascii="宋体" w:hAnsi="宋体" w:eastAsia="宋体" w:cs="宋体"/>
      <w:color w:val="000000"/>
      <w:sz w:val="24"/>
      <w:szCs w:val="24"/>
      <w:u w:val="none"/>
    </w:rPr>
  </w:style>
  <w:style w:type="character" w:customStyle="1" w:styleId="9">
    <w:name w:val="页眉 Char"/>
    <w:link w:val="10"/>
    <w:qFormat/>
    <w:uiPriority w:val="99"/>
    <w:rPr>
      <w:kern w:val="2"/>
      <w:sz w:val="18"/>
      <w:szCs w:val="18"/>
    </w:rPr>
  </w:style>
  <w:style w:type="paragraph" w:customStyle="1" w:styleId="10">
    <w:name w:val="页眉1"/>
    <w:basedOn w:val="1"/>
    <w:link w:val="9"/>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1">
    <w:name w:val="font11"/>
    <w:qFormat/>
    <w:uiPriority w:val="0"/>
    <w:rPr>
      <w:rFonts w:hint="eastAsia" w:ascii="宋体" w:hAnsi="宋体" w:eastAsia="宋体" w:cs="宋体"/>
      <w:color w:val="000000"/>
      <w:sz w:val="20"/>
      <w:szCs w:val="20"/>
      <w:u w:val="none"/>
    </w:rPr>
  </w:style>
  <w:style w:type="character" w:customStyle="1" w:styleId="12">
    <w:name w:val="font01"/>
    <w:qFormat/>
    <w:uiPriority w:val="0"/>
    <w:rPr>
      <w:rFonts w:hint="eastAsia" w:ascii="宋体" w:hAnsi="宋体" w:eastAsia="宋体" w:cs="宋体"/>
      <w:color w:val="000000"/>
      <w:sz w:val="22"/>
      <w:szCs w:val="22"/>
      <w:u w:val="none"/>
    </w:rPr>
  </w:style>
  <w:style w:type="character" w:customStyle="1" w:styleId="13">
    <w:name w:val="批注框文本 Char"/>
    <w:link w:val="14"/>
    <w:semiHidden/>
    <w:uiPriority w:val="99"/>
    <w:rPr>
      <w:kern w:val="2"/>
      <w:sz w:val="18"/>
      <w:szCs w:val="18"/>
    </w:rPr>
  </w:style>
  <w:style w:type="paragraph" w:customStyle="1" w:styleId="14">
    <w:name w:val="批注框文本1"/>
    <w:basedOn w:val="1"/>
    <w:link w:val="13"/>
    <w:unhideWhenUsed/>
    <w:uiPriority w:val="99"/>
    <w:pPr>
      <w:jc w:val="both"/>
    </w:pPr>
    <w:rPr>
      <w:sz w:val="18"/>
      <w:szCs w:val="18"/>
      <w:lang w:val="en-US" w:eastAsia="zh-CN"/>
    </w:rPr>
  </w:style>
  <w:style w:type="character" w:customStyle="1" w:styleId="15">
    <w:name w:val="页脚 Char"/>
    <w:link w:val="16"/>
    <w:qFormat/>
    <w:uiPriority w:val="99"/>
    <w:rPr>
      <w:kern w:val="2"/>
      <w:sz w:val="18"/>
      <w:szCs w:val="18"/>
    </w:rPr>
  </w:style>
  <w:style w:type="paragraph" w:customStyle="1" w:styleId="16">
    <w:name w:val="页脚1"/>
    <w:basedOn w:val="1"/>
    <w:link w:val="15"/>
    <w:unhideWhenUsed/>
    <w:qFormat/>
    <w:uiPriority w:val="99"/>
    <w:pPr>
      <w:tabs>
        <w:tab w:val="center" w:pos="4153"/>
        <w:tab w:val="right" w:pos="8306"/>
      </w:tabs>
      <w:snapToGrid w:val="0"/>
      <w:jc w:val="left"/>
    </w:pPr>
    <w:rPr>
      <w:sz w:val="18"/>
      <w:szCs w:val="18"/>
      <w:lang w:val="en-US" w:eastAsia="zh-CN"/>
    </w:rPr>
  </w:style>
  <w:style w:type="character" w:customStyle="1" w:styleId="17">
    <w:name w:val="font21"/>
    <w:qFormat/>
    <w:uiPriority w:val="0"/>
    <w:rPr>
      <w:rFonts w:hint="eastAsia" w:ascii="宋体" w:hAnsi="宋体" w:eastAsia="宋体" w:cs="宋体"/>
      <w:color w:val="000000"/>
      <w:sz w:val="22"/>
      <w:szCs w:val="22"/>
      <w:u w:val="none"/>
    </w:rPr>
  </w:style>
  <w:style w:type="character" w:customStyle="1" w:styleId="18">
    <w:name w:val="font41"/>
    <w:qFormat/>
    <w:uiPriority w:val="0"/>
    <w:rPr>
      <w:rFonts w:hint="eastAsia" w:ascii="宋体" w:hAnsi="宋体" w:eastAsia="宋体" w:cs="宋体"/>
      <w:color w:val="000000"/>
      <w:sz w:val="24"/>
      <w:szCs w:val="24"/>
      <w:u w:val="none"/>
    </w:rPr>
  </w:style>
  <w:style w:type="paragraph" w:customStyle="1" w:styleId="19">
    <w:name w:val="普通(网站)1"/>
    <w:basedOn w:val="1"/>
    <w:unhideWhenUsed/>
    <w:qFormat/>
    <w:uiPriority w:val="99"/>
    <w:pPr>
      <w:jc w:val="both"/>
    </w:pPr>
    <w:rPr>
      <w:sz w:val="24"/>
      <w:lang w:val="en-US" w:eastAsia="zh-CN"/>
    </w:rPr>
  </w:style>
  <w:style w:type="paragraph" w:customStyle="1" w:styleId="20">
    <w:name w:val="闻政-正文二级标题"/>
    <w:basedOn w:val="2"/>
    <w:next w:val="21"/>
    <w:qFormat/>
    <w:uiPriority w:val="3"/>
    <w:pPr>
      <w:spacing w:before="120" w:after="60" w:line="500" w:lineRule="exact"/>
      <w:ind w:left="200" w:leftChars="200"/>
      <w:jc w:val="left"/>
    </w:pPr>
    <w:rPr>
      <w:rFonts w:ascii="Times New Roman" w:hAnsi="Times New Roman" w:eastAsia="仿宋_GB2312" w:cs="Times New Roman"/>
      <w:sz w:val="28"/>
    </w:rPr>
  </w:style>
  <w:style w:type="paragraph" w:customStyle="1" w:styleId="21">
    <w:name w:val="闻政-正文段落文字"/>
    <w:basedOn w:val="1"/>
    <w:qFormat/>
    <w:uiPriority w:val="3"/>
    <w:pPr>
      <w:spacing w:line="500" w:lineRule="exact"/>
      <w:ind w:firstLine="200"/>
    </w:pPr>
    <w:rPr>
      <w:rFonts w:ascii="Times New Roman" w:hAnsi="Times New Roman"/>
      <w:szCs w:val="28"/>
    </w:rPr>
  </w:style>
  <w:style w:type="table" w:customStyle="1" w:styleId="22">
    <w:name w:val="普通表格1"/>
    <w:unhideWhenUsed/>
    <w:qFormat/>
    <w:uiPriority w:val="99"/>
    <w:tblPr>
      <w:tblCellMar>
        <w:top w:w="0" w:type="dxa"/>
        <w:left w:w="108" w:type="dxa"/>
        <w:bottom w:w="0" w:type="dxa"/>
        <w:right w:w="108" w:type="dxa"/>
      </w:tblCellMar>
    </w:tblPr>
  </w:style>
  <w:style w:type="table" w:customStyle="1" w:styleId="23">
    <w:name w:val="网格型1"/>
    <w:basedOn w:val="22"/>
    <w:qFormat/>
    <w:uiPriority w:val="59"/>
    <w:pPr>
      <w:widowControl w:val="0"/>
      <w:jc w:val="both"/>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4596</Words>
  <Characters>7184</Characters>
  <Lines>1</Lines>
  <Paragraphs>1</Paragraphs>
  <TotalTime>3</TotalTime>
  <ScaleCrop>false</ScaleCrop>
  <LinksUpToDate>false</LinksUpToDate>
  <CharactersWithSpaces>7773</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2025-12-30T14:38:54Z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eyJoZGlkIjoiYmFkMWIyN2ZkZGYwNDcyYmYwNzJmMzgwMWQyZWJmOGUiLCJ1c2VySWQiOiI1OTY3NTc0MTAifQ==</vt:lpwstr>
  </property>
  <property fmtid="{D5CDD505-2E9C-101B-9397-08002B2CF9AE}" pid="4" name="ICV">
    <vt:lpwstr>A353A8E02FA19203DA402E69293DAA62</vt:lpwstr>
  </property>
</Properties>
</file>