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郸城县张完乡卫生院部门</w:t>
      </w:r>
      <w:bookmarkStart w:id="0" w:name="_GoBack"/>
      <w:bookmarkEnd w:id="0"/>
      <w:r>
        <w:rPr>
          <w:rFonts w:hint="eastAsia" w:ascii="黑体" w:hAnsi="黑体" w:eastAsia="黑体" w:cs="黑体"/>
          <w:sz w:val="52"/>
          <w:szCs w:val="52"/>
          <w:lang w:val="en-US" w:eastAsia="zh-CN"/>
        </w:rPr>
        <w:t>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郸城县张完乡卫生院概况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郸城县张完乡卫生院概况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郸城县张完乡卫生院为人民健康提供医疗和预防保健服务。医疗常见病和多发病的护理、恢复期病人康复治疗与护理、预防保健、卫生技术人员培训、卫生监督、卫生信息管理、疫情防控、健康扶贫等。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张完乡卫生院内设机构22个，包括：卫生院设有预防保健科、全科医疗科、内科、外科、妇产科、妇女保健科、传染科、急诊医学科、医学检验科、医学影像科、中医科等。后勤科室有办公室、财务科、医保科、信息科等。其他科室设置有药剂科、护理科、公共卫生科、扶贫办公室、供应室、被服室、手术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从决算单位构成看，郸城县张完乡卫生院单位决算无独立核算的下属单位。本级决算为单位决算。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1,292.70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0.19</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1,477.39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1,477.39</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1,477.39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1,477.39</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1,477.39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72"/>
        <w:gridCol w:w="2500"/>
        <w:gridCol w:w="933"/>
        <w:gridCol w:w="708"/>
        <w:gridCol w:w="717"/>
        <w:gridCol w:w="900"/>
        <w:gridCol w:w="63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472"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33"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708"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717"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630"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50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33" w:type="dxa"/>
            <w:vMerge w:val="continue"/>
            <w:vAlign w:val="center"/>
          </w:tcPr>
          <w:p>
            <w:pPr>
              <w:rPr>
                <w:sz w:val="18"/>
                <w:szCs w:val="18"/>
              </w:rPr>
            </w:pPr>
          </w:p>
        </w:tc>
        <w:tc>
          <w:tcPr>
            <w:tcW w:w="708" w:type="dxa"/>
            <w:vMerge w:val="continue"/>
            <w:vAlign w:val="center"/>
          </w:tcPr>
          <w:p>
            <w:pPr>
              <w:rPr>
                <w:sz w:val="18"/>
                <w:szCs w:val="18"/>
              </w:rPr>
            </w:pPr>
          </w:p>
        </w:tc>
        <w:tc>
          <w:tcPr>
            <w:tcW w:w="717" w:type="dxa"/>
            <w:vMerge w:val="continue"/>
            <w:vAlign w:val="center"/>
          </w:tcPr>
          <w:p>
            <w:pPr>
              <w:rPr>
                <w:sz w:val="18"/>
                <w:szCs w:val="18"/>
              </w:rPr>
            </w:pPr>
          </w:p>
        </w:tc>
        <w:tc>
          <w:tcPr>
            <w:tcW w:w="900" w:type="dxa"/>
            <w:vMerge w:val="continue"/>
            <w:vAlign w:val="center"/>
          </w:tcPr>
          <w:p>
            <w:pPr>
              <w:rPr>
                <w:sz w:val="18"/>
                <w:szCs w:val="18"/>
              </w:rPr>
            </w:pPr>
          </w:p>
        </w:tc>
        <w:tc>
          <w:tcPr>
            <w:tcW w:w="6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Merge w:val="continue"/>
            <w:vAlign w:val="center"/>
          </w:tcPr>
          <w:p>
            <w:pPr>
              <w:rPr>
                <w:sz w:val="18"/>
                <w:szCs w:val="18"/>
              </w:rPr>
            </w:pPr>
          </w:p>
        </w:tc>
        <w:tc>
          <w:tcPr>
            <w:tcW w:w="2500" w:type="dxa"/>
            <w:vMerge w:val="continue"/>
            <w:vAlign w:val="center"/>
          </w:tcPr>
          <w:p>
            <w:pPr>
              <w:rPr>
                <w:sz w:val="18"/>
                <w:szCs w:val="18"/>
              </w:rPr>
            </w:pPr>
          </w:p>
        </w:tc>
        <w:tc>
          <w:tcPr>
            <w:tcW w:w="933" w:type="dxa"/>
            <w:vMerge w:val="continue"/>
            <w:vAlign w:val="center"/>
          </w:tcPr>
          <w:p>
            <w:pPr>
              <w:rPr>
                <w:sz w:val="18"/>
                <w:szCs w:val="18"/>
              </w:rPr>
            </w:pPr>
          </w:p>
        </w:tc>
        <w:tc>
          <w:tcPr>
            <w:tcW w:w="708" w:type="dxa"/>
            <w:vMerge w:val="continue"/>
            <w:vAlign w:val="center"/>
          </w:tcPr>
          <w:p>
            <w:pPr>
              <w:rPr>
                <w:sz w:val="18"/>
                <w:szCs w:val="18"/>
              </w:rPr>
            </w:pPr>
          </w:p>
        </w:tc>
        <w:tc>
          <w:tcPr>
            <w:tcW w:w="717" w:type="dxa"/>
            <w:vMerge w:val="continue"/>
            <w:vAlign w:val="center"/>
          </w:tcPr>
          <w:p>
            <w:pPr>
              <w:rPr>
                <w:sz w:val="18"/>
                <w:szCs w:val="18"/>
              </w:rPr>
            </w:pPr>
          </w:p>
        </w:tc>
        <w:tc>
          <w:tcPr>
            <w:tcW w:w="900" w:type="dxa"/>
            <w:vMerge w:val="continue"/>
            <w:vAlign w:val="center"/>
          </w:tcPr>
          <w:p>
            <w:pPr>
              <w:rPr>
                <w:sz w:val="18"/>
                <w:szCs w:val="18"/>
              </w:rPr>
            </w:pPr>
          </w:p>
        </w:tc>
        <w:tc>
          <w:tcPr>
            <w:tcW w:w="6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Merge w:val="continue"/>
            <w:vAlign w:val="center"/>
          </w:tcPr>
          <w:p>
            <w:pPr>
              <w:rPr>
                <w:sz w:val="18"/>
                <w:szCs w:val="18"/>
              </w:rPr>
            </w:pPr>
          </w:p>
        </w:tc>
        <w:tc>
          <w:tcPr>
            <w:tcW w:w="2500" w:type="dxa"/>
            <w:vMerge w:val="continue"/>
            <w:vAlign w:val="center"/>
          </w:tcPr>
          <w:p>
            <w:pPr>
              <w:rPr>
                <w:sz w:val="18"/>
                <w:szCs w:val="18"/>
              </w:rPr>
            </w:pPr>
          </w:p>
        </w:tc>
        <w:tc>
          <w:tcPr>
            <w:tcW w:w="933" w:type="dxa"/>
            <w:vMerge w:val="continue"/>
            <w:vAlign w:val="center"/>
          </w:tcPr>
          <w:p>
            <w:pPr>
              <w:rPr>
                <w:sz w:val="18"/>
                <w:szCs w:val="18"/>
              </w:rPr>
            </w:pPr>
          </w:p>
        </w:tc>
        <w:tc>
          <w:tcPr>
            <w:tcW w:w="708" w:type="dxa"/>
            <w:vMerge w:val="continue"/>
            <w:vAlign w:val="center"/>
          </w:tcPr>
          <w:p>
            <w:pPr>
              <w:rPr>
                <w:sz w:val="18"/>
                <w:szCs w:val="18"/>
              </w:rPr>
            </w:pPr>
          </w:p>
        </w:tc>
        <w:tc>
          <w:tcPr>
            <w:tcW w:w="717" w:type="dxa"/>
            <w:vMerge w:val="continue"/>
            <w:vAlign w:val="center"/>
          </w:tcPr>
          <w:p>
            <w:pPr>
              <w:rPr>
                <w:sz w:val="18"/>
                <w:szCs w:val="18"/>
              </w:rPr>
            </w:pPr>
          </w:p>
        </w:tc>
        <w:tc>
          <w:tcPr>
            <w:tcW w:w="900" w:type="dxa"/>
            <w:vMerge w:val="continue"/>
            <w:vAlign w:val="center"/>
          </w:tcPr>
          <w:p>
            <w:pPr>
              <w:rPr>
                <w:sz w:val="18"/>
                <w:szCs w:val="18"/>
              </w:rPr>
            </w:pPr>
          </w:p>
        </w:tc>
        <w:tc>
          <w:tcPr>
            <w:tcW w:w="63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472"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33"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708"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717"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63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472"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1,477.39</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1,292.70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50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1,477.39</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1,292.70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50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50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50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1,420.55</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127.66</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1,292.70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50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1,405.97</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113.08</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1,292.70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0.19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50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14.58</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14.58</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50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50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933"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708"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717"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63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72"/>
        <w:gridCol w:w="2708"/>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08"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Merge w:val="continue"/>
            <w:vAlign w:val="center"/>
          </w:tcPr>
          <w:p>
            <w:pPr>
              <w:rPr>
                <w:sz w:val="18"/>
                <w:szCs w:val="18"/>
              </w:rPr>
            </w:pPr>
          </w:p>
        </w:tc>
        <w:tc>
          <w:tcPr>
            <w:tcW w:w="2708"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Merge w:val="continue"/>
            <w:vAlign w:val="center"/>
          </w:tcPr>
          <w:p>
            <w:pPr>
              <w:rPr>
                <w:sz w:val="18"/>
                <w:szCs w:val="18"/>
              </w:rPr>
            </w:pPr>
          </w:p>
        </w:tc>
        <w:tc>
          <w:tcPr>
            <w:tcW w:w="2708"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1,477.39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1,477.39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08"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1,477.39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1,477.39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2708"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2708"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08"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1,420.55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1,420.55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708"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1,405.97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1,405.97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08"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14.58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14.58</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708"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72"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708"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3031"/>
        <w:gridCol w:w="483"/>
        <w:gridCol w:w="926"/>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3031"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83"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926"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3031" w:type="dxa"/>
            <w:vMerge w:val="continue"/>
            <w:vAlign w:val="center"/>
          </w:tcPr>
          <w:p>
            <w:pPr>
              <w:rPr>
                <w:sz w:val="18"/>
                <w:szCs w:val="18"/>
              </w:rPr>
            </w:pPr>
          </w:p>
        </w:tc>
        <w:tc>
          <w:tcPr>
            <w:tcW w:w="483" w:type="dxa"/>
            <w:vMerge w:val="continue"/>
            <w:vAlign w:val="center"/>
          </w:tcPr>
          <w:p>
            <w:pPr>
              <w:rPr>
                <w:sz w:val="18"/>
                <w:szCs w:val="18"/>
              </w:rPr>
            </w:pPr>
          </w:p>
        </w:tc>
        <w:tc>
          <w:tcPr>
            <w:tcW w:w="926"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031"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83" w:type="dxa"/>
            <w:vAlign w:val="center"/>
          </w:tcPr>
          <w:p>
            <w:pPr>
              <w:rPr>
                <w:sz w:val="18"/>
                <w:szCs w:val="18"/>
              </w:rPr>
            </w:pPr>
          </w:p>
        </w:tc>
        <w:tc>
          <w:tcPr>
            <w:tcW w:w="926"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3031"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1"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3031"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3031"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1"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1" w:type="dxa"/>
            <w:vAlign w:val="center"/>
          </w:tcPr>
          <w:p>
            <w:pPr>
              <w:rPr>
                <w:sz w:val="18"/>
                <w:szCs w:val="18"/>
              </w:rPr>
            </w:pPr>
          </w:p>
        </w:tc>
        <w:tc>
          <w:tcPr>
            <w:tcW w:w="483"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92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1" w:type="dxa"/>
            <w:vAlign w:val="center"/>
          </w:tcPr>
          <w:p>
            <w:pPr>
              <w:rPr>
                <w:sz w:val="18"/>
                <w:szCs w:val="18"/>
              </w:rPr>
            </w:pPr>
          </w:p>
        </w:tc>
        <w:tc>
          <w:tcPr>
            <w:tcW w:w="483"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92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031" w:type="dxa"/>
            <w:vAlign w:val="center"/>
          </w:tcPr>
          <w:p>
            <w:pPr>
              <w:rPr>
                <w:sz w:val="18"/>
                <w:szCs w:val="18"/>
              </w:rPr>
            </w:pPr>
          </w:p>
        </w:tc>
        <w:tc>
          <w:tcPr>
            <w:tcW w:w="483"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926"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3031"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83"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926"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184.50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其他卫生健康管理事务支出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127.66</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127.66</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113.08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113.08</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14.58</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14.58</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36.84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164.50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113.08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51.42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2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65"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164.50</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20.00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单位：郸城县张完乡卫生院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1477.39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与上年度相比，收、支总计各减少278.21万元，下降15.85%，主要原因是：本年度单位业务开展需要，财政拨款资金减少。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1477.39</w:t>
      </w:r>
      <w:r>
        <w:rPr>
          <w:rFonts w:hint="eastAsia" w:ascii="仿宋_GB2312" w:hAnsi="仿宋_GB2312" w:eastAsia="仿宋_GB2312" w:cs="仿宋_GB2312"/>
          <w:sz w:val="32"/>
          <w:szCs w:val="32"/>
          <w:lang w:val="en-US" w:eastAsia="zh-CN"/>
        </w:rPr>
        <w:t>万元，其中：财政拨款收入184.50万元，占12.49%;事业收入1292.70万元，占87.50%;其他收入0.19万元，占0.01%。</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1477.39</w:t>
      </w:r>
      <w:r>
        <w:rPr>
          <w:rFonts w:hint="eastAsia" w:ascii="仿宋_GB2312" w:hAnsi="仿宋_GB2312" w:eastAsia="仿宋_GB2312" w:cs="仿宋_GB2312"/>
          <w:sz w:val="32"/>
          <w:szCs w:val="32"/>
          <w:lang w:val="en-US" w:eastAsia="zh-CN"/>
        </w:rPr>
        <w:t>万元，其中：基本支出1477.39万元，占100.00%。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184.50</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与上年度相比，财政拨款收、支总计各减少315.28万元，下降63.08%，主要原因是：本年度单位业务开展需要，财政拨款资金减少。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2024年度一般公共预算财政拨款支出184.50万元，占支出合计的12.49%。与上年度相比，一般公共预算财政拨款支出减少315.28万元，下降63.08%，主要原因是：本年度单位业务开展需要，财政拨款资金减少。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年度一般公共预算财政拨款支出184.50万元，主要用于以下方面：卫生健康（类）支出184.50万元，占100.00%。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75.46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184.50</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244.50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卫生健康支出（类）卫生健康管理事务（款）其他卫生健康管理事务支出（项）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20.00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14.04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113.08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，完成年初预算的805.29%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本年单位该项资金未及时清算。</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10.58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14.58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，完成年初预算的137.81%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卫生健康支出（类）公共卫生（款）其他公共卫生支出（项）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30.84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36.84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，完成年初预算的119.46%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184.50</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164.50</w:t>
      </w:r>
      <w:r>
        <w:rPr>
          <w:rFonts w:hint="eastAsia" w:ascii="仿宋_GB2312" w:hAnsi="仿宋_GB2312" w:eastAsia="仿宋_GB2312" w:cs="仿宋_GB2312"/>
          <w:sz w:val="32"/>
          <w:szCs w:val="32"/>
          <w:lang w:val="en-US" w:eastAsia="zh-CN"/>
        </w:rPr>
        <w:t>万元，主要包括：基本工资、绩效工资；公用经费</w:t>
      </w:r>
      <w:r>
        <w:rPr>
          <w:rFonts w:hint="eastAsia" w:ascii="仿宋_GB2312" w:hAnsi="Times New Roman" w:eastAsia="仿宋_GB2312"/>
          <w:sz w:val="32"/>
          <w:szCs w:val="32"/>
          <w:lang w:val="en-US" w:eastAsia="zh-CN"/>
        </w:rPr>
        <w:t>20.00</w:t>
      </w:r>
      <w:r>
        <w:rPr>
          <w:rFonts w:hint="eastAsia" w:ascii="仿宋_GB2312" w:hAnsi="仿宋_GB2312" w:eastAsia="仿宋_GB2312" w:cs="仿宋_GB2312"/>
          <w:sz w:val="32"/>
          <w:szCs w:val="32"/>
          <w:lang w:val="en-US" w:eastAsia="zh-CN"/>
        </w:rPr>
        <w:t>万元，主要包括：办公费、专用材料费。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1辆，其中：省级领导干部用车0辆、主要领导干部用车0辆、机要通信用车0辆、应急保障车0辆、执法执勤用车0辆、特种专业技术用车1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2024年我单位无项目支出，未开展项目绩效自评工作。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2024年我单位无项目支出，未开展项目绩效自评工作。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abstractNum w:abstractNumId="1">
    <w:nsid w:val="7F6E7229"/>
    <w:multiLevelType w:val="singleLevel"/>
    <w:tmpl w:val="7F6E7229"/>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03A97ACB"/>
    <w:rsid w:val="2BBB1BE1"/>
    <w:rsid w:val="7CEE4297"/>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7476</Words>
  <Characters>9836</Characters>
  <Lines>70</Lines>
  <Paragraphs>19</Paragraphs>
  <TotalTime>1</TotalTime>
  <ScaleCrop>false</ScaleCrop>
  <LinksUpToDate>false</LinksUpToDate>
  <CharactersWithSpaces>10360</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2025-12-07T09:40:03Z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