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郸城县宜路镇卫生院部门决算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郸城县宜路镇卫生院概况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郸城县宜路镇卫生院概况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郸城县宜路镇卫生院为人民健康提供医疗和预防保健服务。医疗常见病和多发病的护理、恢复期病人康复治疗与护理、预防保健、卫生技术人员培训、卫生监督、卫生信息管理、疫情防控健康扶贫等。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宜路镇卫生院内设机构22个，包括：卫生院设有预防保健科、全科医疗科、内科、外科、妇产科、妇女保健科、传染科、急诊医学科、医学检验科、医学影像科、中医科、办公室、财务科、医保科、信息科、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从决算单位构成看，郸城县宜路镇卫生院单位决算无独立核算的下属单位。本级决算为单位决算。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1,170.79</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0.11</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1,347.39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1,347.39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1,347.39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0"/>
        <w:gridCol w:w="2330"/>
        <w:gridCol w:w="903"/>
        <w:gridCol w:w="737"/>
        <w:gridCol w:w="820"/>
        <w:gridCol w:w="910"/>
        <w:gridCol w:w="73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3"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37"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91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73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3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3" w:type="dxa"/>
            <w:vMerge w:val="continue"/>
            <w:vAlign w:val="center"/>
          </w:tcPr>
          <w:p>
            <w:pPr>
              <w:rPr>
                <w:sz w:val="18"/>
                <w:szCs w:val="18"/>
              </w:rPr>
            </w:pPr>
          </w:p>
        </w:tc>
        <w:tc>
          <w:tcPr>
            <w:tcW w:w="737"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Merge w:val="continue"/>
            <w:vAlign w:val="center"/>
          </w:tcPr>
          <w:p>
            <w:pPr>
              <w:rPr>
                <w:sz w:val="18"/>
                <w:szCs w:val="18"/>
              </w:rPr>
            </w:pPr>
          </w:p>
        </w:tc>
        <w:tc>
          <w:tcPr>
            <w:tcW w:w="2330" w:type="dxa"/>
            <w:vMerge w:val="continue"/>
            <w:vAlign w:val="center"/>
          </w:tcPr>
          <w:p>
            <w:pPr>
              <w:rPr>
                <w:sz w:val="18"/>
                <w:szCs w:val="18"/>
              </w:rPr>
            </w:pPr>
          </w:p>
        </w:tc>
        <w:tc>
          <w:tcPr>
            <w:tcW w:w="903" w:type="dxa"/>
            <w:vMerge w:val="continue"/>
            <w:vAlign w:val="center"/>
          </w:tcPr>
          <w:p>
            <w:pPr>
              <w:rPr>
                <w:sz w:val="18"/>
                <w:szCs w:val="18"/>
              </w:rPr>
            </w:pPr>
          </w:p>
        </w:tc>
        <w:tc>
          <w:tcPr>
            <w:tcW w:w="737"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Merge w:val="continue"/>
            <w:vAlign w:val="center"/>
          </w:tcPr>
          <w:p>
            <w:pPr>
              <w:rPr>
                <w:sz w:val="18"/>
                <w:szCs w:val="18"/>
              </w:rPr>
            </w:pPr>
          </w:p>
        </w:tc>
        <w:tc>
          <w:tcPr>
            <w:tcW w:w="2330" w:type="dxa"/>
            <w:vMerge w:val="continue"/>
            <w:vAlign w:val="center"/>
          </w:tcPr>
          <w:p>
            <w:pPr>
              <w:rPr>
                <w:sz w:val="18"/>
                <w:szCs w:val="18"/>
              </w:rPr>
            </w:pPr>
          </w:p>
        </w:tc>
        <w:tc>
          <w:tcPr>
            <w:tcW w:w="903" w:type="dxa"/>
            <w:vMerge w:val="continue"/>
            <w:vAlign w:val="center"/>
          </w:tcPr>
          <w:p>
            <w:pPr>
              <w:rPr>
                <w:sz w:val="18"/>
                <w:szCs w:val="18"/>
              </w:rPr>
            </w:pPr>
          </w:p>
        </w:tc>
        <w:tc>
          <w:tcPr>
            <w:tcW w:w="737" w:type="dxa"/>
            <w:vMerge w:val="continue"/>
            <w:vAlign w:val="center"/>
          </w:tcPr>
          <w:p>
            <w:pPr>
              <w:rPr>
                <w:sz w:val="18"/>
                <w:szCs w:val="18"/>
              </w:rPr>
            </w:pPr>
          </w:p>
        </w:tc>
        <w:tc>
          <w:tcPr>
            <w:tcW w:w="820" w:type="dxa"/>
            <w:vMerge w:val="continue"/>
            <w:vAlign w:val="center"/>
          </w:tcPr>
          <w:p>
            <w:pPr>
              <w:rPr>
                <w:sz w:val="18"/>
                <w:szCs w:val="18"/>
              </w:rPr>
            </w:pPr>
          </w:p>
        </w:tc>
        <w:tc>
          <w:tcPr>
            <w:tcW w:w="910" w:type="dxa"/>
            <w:vMerge w:val="continue"/>
            <w:vAlign w:val="center"/>
          </w:tcPr>
          <w:p>
            <w:pPr>
              <w:rPr>
                <w:sz w:val="18"/>
                <w:szCs w:val="18"/>
              </w:rPr>
            </w:pPr>
          </w:p>
        </w:tc>
        <w:tc>
          <w:tcPr>
            <w:tcW w:w="7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3"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37"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1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73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1,170.79</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1,170.79</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1,326.04</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155.14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1,170.79</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1,321.67</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150.77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1,170.79</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3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3"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737"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1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7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30"/>
        <w:gridCol w:w="275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5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275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Merge w:val="continue"/>
            <w:vAlign w:val="center"/>
          </w:tcPr>
          <w:p>
            <w:pPr>
              <w:rPr>
                <w:sz w:val="18"/>
                <w:szCs w:val="18"/>
              </w:rPr>
            </w:pPr>
          </w:p>
        </w:tc>
        <w:tc>
          <w:tcPr>
            <w:tcW w:w="275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1,347.39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1,326.04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1,326.04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1,321.67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1,321.67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3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5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856"/>
        <w:gridCol w:w="491"/>
        <w:gridCol w:w="1093"/>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856"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91"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93"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856" w:type="dxa"/>
            <w:vMerge w:val="continue"/>
            <w:vAlign w:val="center"/>
          </w:tcPr>
          <w:p>
            <w:pPr>
              <w:rPr>
                <w:sz w:val="18"/>
                <w:szCs w:val="18"/>
              </w:rPr>
            </w:pPr>
          </w:p>
        </w:tc>
        <w:tc>
          <w:tcPr>
            <w:tcW w:w="491" w:type="dxa"/>
            <w:vMerge w:val="continue"/>
            <w:vAlign w:val="center"/>
          </w:tcPr>
          <w:p>
            <w:pPr>
              <w:rPr>
                <w:sz w:val="18"/>
                <w:szCs w:val="18"/>
              </w:rPr>
            </w:pPr>
          </w:p>
        </w:tc>
        <w:tc>
          <w:tcPr>
            <w:tcW w:w="1093"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856"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91" w:type="dxa"/>
            <w:vAlign w:val="center"/>
          </w:tcPr>
          <w:p>
            <w:pPr>
              <w:rPr>
                <w:sz w:val="18"/>
                <w:szCs w:val="18"/>
              </w:rPr>
            </w:pPr>
          </w:p>
        </w:tc>
        <w:tc>
          <w:tcPr>
            <w:tcW w:w="1093"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856"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2856"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9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9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856" w:type="dxa"/>
            <w:vAlign w:val="center"/>
          </w:tcPr>
          <w:p>
            <w:pPr>
              <w:rPr>
                <w:sz w:val="18"/>
                <w:szCs w:val="18"/>
              </w:rPr>
            </w:pP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9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2856"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91"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93"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176.49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155.14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155.14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150.77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150.77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4.37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155.14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103.53</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51.61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7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21.35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1"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155.14</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21.35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单位：郸城县宜路镇卫生院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1347.39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与上年度相比，收、支总计各减少184.13万元，下降12.02%，主要原因是：本年度我单位业务量减少，收入支出减少。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1347.39</w:t>
      </w:r>
      <w:r>
        <w:rPr>
          <w:rFonts w:hint="eastAsia" w:ascii="仿宋_GB2312" w:hAnsi="仿宋_GB2312" w:eastAsia="仿宋_GB2312" w:cs="仿宋_GB2312"/>
          <w:sz w:val="32"/>
          <w:szCs w:val="32"/>
          <w:lang w:val="en-US" w:eastAsia="zh-CN"/>
        </w:rPr>
        <w:t>万元，其中：财政拨款收入176.49万元，占13.10%;事业收入1170.79万元，占86.89%;其他收入0.11万元，占0.01%。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1347.39</w:t>
      </w:r>
      <w:r>
        <w:rPr>
          <w:rFonts w:hint="eastAsia" w:ascii="仿宋_GB2312" w:hAnsi="仿宋_GB2312" w:eastAsia="仿宋_GB2312" w:cs="仿宋_GB2312"/>
          <w:sz w:val="32"/>
          <w:szCs w:val="32"/>
          <w:lang w:val="en-US" w:eastAsia="zh-CN"/>
        </w:rPr>
        <w:t>万元，其中：基本支出1347.39万元，占100.00%。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176.49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与上年度相比，财政拨款收、支总计各减少394.88万元，下降69.11%，主要原因是：本年度我单位业务量减少，收入支出减少。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2024年度一般公共预算财政拨款支出176.49万元，占支出合计的13.10%。与上年度相比，一般公共预算财政拨款支出减少394.88万元，下降69.11%，主要原因是：本年度我单位业务量减少，收入支出减少。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年度一般公共预算财政拨款支出176.49万元，主要用于以下方面：卫生健康（类）支出176.49万元，占100.00%。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157.78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176.49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111.86</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21.35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132.06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150.77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，完成年初预算的114.17%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之前年度指标未清算，本年该项资金总体支出增加。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176.49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155.14</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21.35</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2024年我单位无项目支出，未开展绩效管理工作。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abstractNum w:abstractNumId="1">
    <w:nsid w:val="7BD29268"/>
    <w:multiLevelType w:val="singleLevel"/>
    <w:tmpl w:val="7BD29268"/>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4B5E537A"/>
    <w:rsid w:val="997FA99D"/>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6172</Words>
  <Characters>8367</Characters>
  <Lines>70</Lines>
  <Paragraphs>19</Paragraphs>
  <TotalTime>0</TotalTime>
  <ScaleCrop>false</ScaleCrop>
  <LinksUpToDate>false</LinksUpToDate>
  <CharactersWithSpaces>8869</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2025-12-07T09:59:21Z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