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r>
        <w:rPr>
          <w:rFonts w:hint="eastAsia" w:ascii="黑体" w:hAnsi="黑体" w:eastAsia="黑体" w:cs="黑体"/>
          <w:sz w:val="52"/>
          <w:szCs w:val="52"/>
          <w:highlight w:val="none"/>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r>
        <w:rPr>
          <w:rFonts w:hint="eastAsia" w:ascii="黑体" w:hAnsi="黑体" w:eastAsia="黑体" w:cs="黑体"/>
          <w:sz w:val="52"/>
          <w:szCs w:val="52"/>
          <w:highlight w:val="none"/>
          <w:lang w:val="en-US" w:eastAsia="zh-CN"/>
        </w:rPr>
        <w:t>郸城县卫生健康委员会部门决算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highlight w:val="none"/>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highlight w:val="none"/>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highlight w:val="none"/>
          <w:lang w:val="en-US" w:eastAsia="zh-CN"/>
        </w:rPr>
      </w:pPr>
      <w:r>
        <w:rPr>
          <w:rFonts w:hint="eastAsia" w:ascii="黑体" w:hAnsi="黑体" w:eastAsia="黑体" w:cs="黑体"/>
          <w:sz w:val="36"/>
          <w:szCs w:val="36"/>
          <w:highlight w:val="none"/>
          <w:lang w:val="en-US" w:eastAsia="zh-CN"/>
        </w:rPr>
        <w:t xml:space="preserve">目 </w:t>
      </w:r>
      <w:r>
        <w:rPr>
          <w:rFonts w:ascii="黑体" w:hAnsi="黑体" w:eastAsia="黑体" w:cs="黑体"/>
          <w:sz w:val="36"/>
          <w:szCs w:val="36"/>
          <w:highlight w:val="none"/>
          <w:lang w:val="en-US" w:eastAsia="zh-CN"/>
        </w:rPr>
        <w:t xml:space="preserve"> </w:t>
      </w:r>
      <w:r>
        <w:rPr>
          <w:rFonts w:hint="eastAsia" w:ascii="黑体" w:hAnsi="黑体" w:eastAsia="黑体" w:cs="黑体"/>
          <w:sz w:val="36"/>
          <w:szCs w:val="36"/>
          <w:highlight w:val="none"/>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第一部分  郸城县卫生健康委员会概况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highlight w:val="none"/>
          <w:lang w:val="en-US" w:eastAsia="zh-CN"/>
        </w:rPr>
      </w:pPr>
      <w:r>
        <w:rPr>
          <w:rFonts w:hint="eastAsia" w:ascii="宋体" w:hAnsi="宋体" w:cs="宋体"/>
          <w:sz w:val="32"/>
          <w:szCs w:val="32"/>
          <w:highlight w:val="none"/>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highlight w:val="none"/>
          <w:lang w:val="en-US" w:eastAsia="zh-CN"/>
        </w:rPr>
      </w:pPr>
      <w:r>
        <w:rPr>
          <w:rFonts w:hint="eastAsia" w:ascii="宋体" w:hAnsi="宋体" w:cs="宋体"/>
          <w:sz w:val="32"/>
          <w:szCs w:val="32"/>
          <w:highlight w:val="none"/>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highlight w:val="none"/>
          <w:lang w:val="en-US" w:eastAsia="zh-CN"/>
        </w:rPr>
      </w:pPr>
      <w:r>
        <w:rPr>
          <w:rFonts w:hint="eastAsia" w:ascii="宋体" w:hAnsi="宋体" w:cs="黑体"/>
          <w:sz w:val="32"/>
          <w:szCs w:val="32"/>
          <w:highlight w:val="none"/>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highlight w:val="none"/>
          <w:lang w:val="en-US" w:eastAsia="zh-CN"/>
        </w:rPr>
      </w:pPr>
      <w:r>
        <w:rPr>
          <w:rFonts w:hint="eastAsia" w:ascii="宋体" w:hAnsi="宋体" w:cs="黑体"/>
          <w:sz w:val="32"/>
          <w:szCs w:val="32"/>
          <w:highlight w:val="none"/>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highlight w:val="none"/>
          <w:lang w:val="en-US" w:eastAsia="zh-CN"/>
        </w:rPr>
      </w:pPr>
      <w:r>
        <w:rPr>
          <w:rFonts w:hint="eastAsia" w:ascii="宋体" w:hAnsi="宋体" w:cs="黑体"/>
          <w:sz w:val="32"/>
          <w:szCs w:val="32"/>
          <w:highlight w:val="none"/>
          <w:lang w:val="en-US" w:eastAsia="zh-CN"/>
        </w:rPr>
        <w:t>八、国有</w:t>
      </w:r>
      <w:r>
        <w:rPr>
          <w:rFonts w:ascii="宋体" w:hAnsi="宋体" w:cs="黑体"/>
          <w:sz w:val="32"/>
          <w:szCs w:val="32"/>
          <w:highlight w:val="none"/>
          <w:lang w:val="en-US" w:eastAsia="zh-CN"/>
        </w:rPr>
        <w:t>资本经营预算财政拨款</w:t>
      </w:r>
      <w:r>
        <w:rPr>
          <w:rFonts w:hint="eastAsia" w:ascii="宋体" w:hAnsi="宋体" w:cs="黑体"/>
          <w:sz w:val="32"/>
          <w:szCs w:val="32"/>
          <w:highlight w:val="none"/>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highlight w:val="none"/>
          <w:lang w:val="en-US" w:eastAsia="zh-CN"/>
        </w:rPr>
      </w:pPr>
      <w:r>
        <w:rPr>
          <w:rFonts w:hint="eastAsia" w:ascii="宋体" w:hAnsi="宋体" w:cs="黑体"/>
          <w:sz w:val="32"/>
          <w:szCs w:val="32"/>
          <w:highlight w:val="none"/>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 xml:space="preserve">第三部分  </w:t>
      </w:r>
      <w:r>
        <w:rPr>
          <w:rFonts w:ascii="黑体" w:hAnsi="黑体" w:eastAsia="黑体" w:cs="黑体"/>
          <w:sz w:val="32"/>
          <w:szCs w:val="32"/>
          <w:highlight w:val="none"/>
          <w:lang w:val="en-US" w:eastAsia="zh-CN"/>
        </w:rPr>
        <w:t>2024</w:t>
      </w:r>
      <w:r>
        <w:rPr>
          <w:rFonts w:hint="eastAsia" w:ascii="黑体" w:hAnsi="黑体" w:eastAsia="黑体" w:cs="黑体"/>
          <w:sz w:val="32"/>
          <w:szCs w:val="32"/>
          <w:highlight w:val="none"/>
          <w:lang w:val="en-US" w:eastAsia="zh-CN"/>
        </w:rPr>
        <w:t>年度</w:t>
      </w:r>
      <w:r>
        <w:rPr>
          <w:rFonts w:ascii="黑体" w:hAnsi="黑体" w:eastAsia="黑体" w:cs="黑体"/>
          <w:sz w:val="32"/>
          <w:szCs w:val="32"/>
          <w:highlight w:val="none"/>
          <w:lang w:val="en-US" w:eastAsia="zh-CN"/>
        </w:rPr>
        <w:t>部门</w:t>
      </w:r>
      <w:r>
        <w:rPr>
          <w:rFonts w:hint="eastAsia" w:ascii="黑体" w:hAnsi="黑体" w:eastAsia="黑体" w:cs="黑体"/>
          <w:sz w:val="32"/>
          <w:szCs w:val="32"/>
          <w:highlight w:val="none"/>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highlight w:val="none"/>
          <w:lang w:val="en-US" w:eastAsia="zh-CN"/>
        </w:rPr>
      </w:pPr>
      <w:r>
        <w:rPr>
          <w:rFonts w:hint="eastAsia" w:ascii="宋体" w:hAnsi="宋体" w:cs="宋体"/>
          <w:sz w:val="32"/>
          <w:szCs w:val="32"/>
          <w:highlight w:val="none"/>
          <w:lang w:val="en-US" w:eastAsia="zh-CN"/>
        </w:rPr>
        <w:t>八、国有资本</w:t>
      </w:r>
      <w:r>
        <w:rPr>
          <w:rFonts w:ascii="宋体" w:hAnsi="宋体" w:cs="宋体"/>
          <w:sz w:val="32"/>
          <w:szCs w:val="32"/>
          <w:highlight w:val="none"/>
          <w:lang w:val="en-US" w:eastAsia="zh-CN"/>
        </w:rPr>
        <w:t>经营</w:t>
      </w:r>
      <w:r>
        <w:rPr>
          <w:rFonts w:hint="eastAsia" w:ascii="宋体" w:hAnsi="宋体" w:cs="宋体"/>
          <w:sz w:val="32"/>
          <w:szCs w:val="32"/>
          <w:highlight w:val="none"/>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highlight w:val="none"/>
          <w:lang w:val="en-US" w:eastAsia="zh-CN"/>
        </w:rPr>
      </w:pPr>
      <w:r>
        <w:rPr>
          <w:rFonts w:hint="eastAsia" w:ascii="宋体" w:hAnsi="宋体" w:cs="宋体"/>
          <w:sz w:val="32"/>
          <w:szCs w:val="32"/>
          <w:highlight w:val="none"/>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highlight w:val="none"/>
          <w:lang w:val="en-US" w:eastAsia="zh-CN"/>
        </w:rPr>
      </w:pPr>
      <w:r>
        <w:rPr>
          <w:rFonts w:hint="eastAsia" w:ascii="宋体" w:hAnsi="宋体" w:cs="宋体"/>
          <w:sz w:val="32"/>
          <w:szCs w:val="32"/>
          <w:highlight w:val="none"/>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highlight w:val="none"/>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r>
        <w:rPr>
          <w:rFonts w:hint="eastAsia" w:ascii="黑体" w:hAnsi="黑体" w:eastAsia="黑体" w:cs="黑体"/>
          <w:sz w:val="48"/>
          <w:szCs w:val="48"/>
          <w:highlight w:val="none"/>
          <w:lang w:val="en-US" w:eastAsia="zh-CN"/>
        </w:rPr>
        <w:t>第一部分  郸城县卫生健康委员会概况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highlight w:val="none"/>
          <w:lang w:val="en-US" w:eastAsia="zh-CN"/>
        </w:rPr>
      </w:pPr>
      <w:r>
        <w:rPr>
          <w:rFonts w:hint="eastAsia" w:ascii="黑体" w:hAnsi="黑体" w:eastAsia="黑体" w:cs="黑体"/>
          <w:kern w:val="0"/>
          <w:sz w:val="32"/>
          <w:szCs w:val="32"/>
          <w:highlight w:val="none"/>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一）贯彻执行党和国家国民健康、卫生健康事业发展法律法规、政策、规划，负责起草全县卫生健康、中医药事业发展的规范性文件并组织实施。统筹规划全县卫生健康资源配置，指导全县区域卫生健康规划编制和实施。拟订推进全县卫生健康基本公共服务均等化、普惠化、便捷化和公共资源向基层延伸等政策措施并组织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二）协调推进深化医药卫生体制改革，研究提出全县深化医药卫生体制改革重大政策、措施的建议。组织深化公立医院综合改革，推进管办分离，健全现代医院管理制度，组织实施国家及省、市推动卫生健康公共服务提供主体多元化、提供方式多样化的政策措施，提出医疗服务和药品价格政策的建议。</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三）拟订并组织落实全县疾病预防控制规划、免疫规划以及严重危害人民健康公共卫生问题的干预措施。负责卫生应急工作，组织指导突发公共卫生事件的预防控制和各类突发公共事件的医疗卫生救援。发布法定报告传染病疫情信息、突发公共卫生事件应急处置信息。</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（四）拟订并协调落实应对人口老龄化政策措施，负责推进老年健康服务体系建设和医养结合工作。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（五）贯彻落实国家药物政策和国家基本药物制度，开展药品使用监测、临床综合评价和短缺药品预警。组织开展食品安全风险监测评估。</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（六）负责职责范围内的职业卫生、放射卫生、环境卫生、学校卫生、公共场所卫生、饮用水卫生等公共卫生的监督管理，负责传染病防治监督，健全卫生健康综合监督体系。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七）拟订全县医疗机构、医疗服务行业、采供血机构管理办法并监督实施，建立医疗服务评价和监督管理体系。会同有关部门贯彻执行国家卫生健康专业技术人员资格标准。拟订医疗服务规范、标准和卫生健康专业技术人员执业规则、服务规范并组织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（八）负责计划生育管理和服务工作，开展人口监测预警，研究提出人口与家庭发展相关政策建议，贯彻落实计划生育政策。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（九）指导基层医疗卫生、妇幼健康服务体系建设，加强全科医生队伍建设。推进卫生健康科技创新发展。</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（十）负责县保健对象的医疗保健工作，负责重要会议与重大活动的医疗卫生保障工作。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（十一）负责中医管理工作，拟订全县中医药事业中长期发展规划。</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 xml:space="preserve">    （十二）承担县爱国卫生运动委员会、县艾滋病防治工作委员会、县中医药工作领导小组、县老龄工作委员会、县人口和计划生育工作领导小组、县保健委员会日常工作，指导郸城县计划生育协会的业务工作。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highlight w:val="none"/>
          <w:lang w:val="en-US" w:eastAsia="zh-CN"/>
        </w:rPr>
      </w:pPr>
      <w:r>
        <w:rPr>
          <w:rFonts w:hint="eastAsia" w:ascii="黑体" w:hAnsi="黑体" w:eastAsia="黑体" w:cs="黑体"/>
          <w:kern w:val="0"/>
          <w:sz w:val="32"/>
          <w:szCs w:val="32"/>
          <w:highlight w:val="none"/>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郸城县卫生健康委员会内设机构</w:t>
      </w:r>
      <w:r>
        <w:rPr>
          <w:rFonts w:hint="eastAsia" w:ascii="仿宋_GB2312" w:hAnsi="宋体" w:eastAsia="仿宋_GB2312" w:cs="Courier New"/>
          <w:kern w:val="0"/>
          <w:sz w:val="32"/>
          <w:szCs w:val="32"/>
          <w:highlight w:val="none"/>
          <w:lang w:val="en-US" w:eastAsia="zh-CN"/>
        </w:rPr>
        <w:t>19</w:t>
      </w:r>
      <w:r>
        <w:rPr>
          <w:rFonts w:hint="eastAsia" w:ascii="仿宋" w:hAnsi="仿宋" w:eastAsia="仿宋" w:cs="仿宋"/>
          <w:kern w:val="0"/>
          <w:sz w:val="32"/>
          <w:szCs w:val="32"/>
          <w:highlight w:val="none"/>
          <w:lang w:val="en-US" w:eastAsia="zh-CN"/>
        </w:rPr>
        <w:t>个,包括：</w:t>
      </w:r>
      <w:r>
        <w:rPr>
          <w:rFonts w:hint="eastAsia" w:ascii="仿宋_GB2312" w:hAnsi="宋体" w:eastAsia="仿宋_GB2312" w:cs="Courier New"/>
          <w:kern w:val="0"/>
          <w:sz w:val="32"/>
          <w:szCs w:val="32"/>
          <w:highlight w:val="none"/>
          <w:lang w:val="en-US" w:eastAsia="zh-CN"/>
        </w:rPr>
        <w:t>办公室、人事股、规划财务审计股、综合监督股、体制改改股、疾病预防控制股、医政医管股、基层卫生股、妇幼健康服务股、行政审批服务股、人口监测与家庭发展股、宣传股、规划发展与信息股、药物政策与基本药物制度股、中医药管理办公室、机关党委、行风办、县计生协会、控费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从决算单位构成看，郸城县卫生健康委员会部门决算包括：本级决算、所属单位决算。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highlight w:val="none"/>
          <w:lang w:val="en-US" w:eastAsia="zh-CN"/>
        </w:rPr>
      </w:pPr>
      <w:r>
        <w:rPr>
          <w:rFonts w:hint="eastAsia" w:ascii="仿宋" w:hAnsi="仿宋" w:eastAsia="仿宋" w:cs="仿宋"/>
          <w:kern w:val="0"/>
          <w:sz w:val="32"/>
          <w:szCs w:val="32"/>
          <w:highlight w:val="none"/>
          <w:lang w:val="en-US" w:eastAsia="zh-CN"/>
        </w:rPr>
        <w:t>本决算为汇总决算，纳入本部门2024年度部门决算编制范围的单位共28个（1本级和27个所属单位），具体包含：郸城县卫生健康委员会、郸城县人民医院、郸城县中心医院、郸城县中医院、郸城县妇幼保健院、郸城县疾病预防控制中心、郸城县南丰镇卫生院、郸城县胡集乡卫生院、郸城县宁平镇卫生院、郸城县石槽镇卫生院、郸城县吴台镇卫生院、郸城县宜路镇卫生院、郸城县巴集乡卫生院、郸城县东风乡卫生院、郸城县汲水乡卫生院、郸城县白马镇卫生院、郸城县李楼乡卫生院、郸城县城郊乡卫生院、郸城县张完乡卫生院、郸城县秋渠乡卫生院、郸城县汲冢镇卫生院、郸城县双楼乡卫生院、郸城县虎岗乡卫生院、郸城县钱店镇卫生院、郸城县城关镇卫生院、郸城县丁村乡卫生院、河南省郸城县120急救指挥中心、郸城县卫生计生监督所。</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r>
        <w:rPr>
          <w:rFonts w:hint="eastAsia" w:ascii="黑体" w:hAnsi="宋体" w:eastAsia="黑体" w:cs="宋体"/>
          <w:kern w:val="0"/>
          <w:sz w:val="28"/>
          <w:szCs w:val="28"/>
          <w:highlight w:val="none"/>
          <w:lang w:val="en-US" w:eastAsia="zh-CN"/>
        </w:rPr>
        <w:br w:type="page"/>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r>
        <w:rPr>
          <w:rFonts w:hint="eastAsia" w:ascii="黑体" w:hAnsi="黑体" w:eastAsia="黑体" w:cs="黑体"/>
          <w:sz w:val="48"/>
          <w:szCs w:val="48"/>
          <w:highlight w:val="none"/>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highlight w:val="none"/>
              </w:rPr>
            </w:pPr>
            <w:r>
              <w:rPr>
                <w:rFonts w:ascii="宋体" w:hAnsi="宋体" w:eastAsia="宋体" w:cs="宋体"/>
                <w:sz w:val="18"/>
                <w:szCs w:val="18"/>
                <w:highlight w:val="none"/>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412"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收入</w:t>
            </w:r>
          </w:p>
        </w:tc>
        <w:tc>
          <w:tcPr>
            <w:tcW w:w="6404"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行次</w:t>
            </w:r>
          </w:p>
        </w:tc>
        <w:tc>
          <w:tcPr>
            <w:tcW w:w="25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金额</w:t>
            </w:r>
          </w:p>
        </w:tc>
        <w:tc>
          <w:tcPr>
            <w:tcW w:w="33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行次</w:t>
            </w:r>
          </w:p>
        </w:tc>
        <w:tc>
          <w:tcPr>
            <w:tcW w:w="2484"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580" w:type="dxa"/>
            <w:vAlign w:val="center"/>
          </w:tcPr>
          <w:p>
            <w:pPr>
              <w:rPr>
                <w:sz w:val="18"/>
                <w:szCs w:val="18"/>
                <w:highlight w:val="none"/>
              </w:rPr>
            </w:pPr>
          </w:p>
        </w:tc>
        <w:tc>
          <w:tcPr>
            <w:tcW w:w="25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33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580" w:type="dxa"/>
            <w:vAlign w:val="center"/>
          </w:tcPr>
          <w:p>
            <w:pPr>
              <w:rPr>
                <w:sz w:val="18"/>
                <w:szCs w:val="18"/>
                <w:highlight w:val="none"/>
              </w:rPr>
            </w:pPr>
          </w:p>
        </w:tc>
        <w:tc>
          <w:tcPr>
            <w:tcW w:w="2484"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一、一般公共预算财政拨款收入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25,412.51</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一、一般公共服务支出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31</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二、政府性基金预算财政拨款收入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二、外交支出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32</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三、国有资本经营预算财政拨款收入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三、国防支出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33</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四、上级补助收入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四、公共安全支出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34</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五、事业收入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134,199.83</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五、教育支出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35</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六、经营收入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六、科学技术支出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36</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七、附属单位上缴收入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7</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七、文化旅游体育与传媒支出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37</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八、其他收入</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8</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53.93</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八、社会保障和就业支出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38</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9</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九、卫生健康支出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39</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157,785.29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10</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十、节能环保支出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40</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11</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十一、城乡社区支出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41</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12</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十二、农林水支出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42</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13</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十三、交通运输支出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43</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14</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十四、资源勘探工业信息等支出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44</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15</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十五、商业服务业等支出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45</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16</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十六、金融支出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46</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17</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十七、援助其他地区支出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47</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18</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十八、自然资源海洋气象等支出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48</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19</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十九、住房保障支出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49</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20</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二十、粮油物资储备支出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50</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21</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二十一、国有资本经营预算支出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51</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22</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二十二、灾害防治及应急管理支出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52</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23</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二十三、其他支出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53</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24</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二十四、债务还本支出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54</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25</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二十五、债务付息支出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55</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highlight w:val="none"/>
              </w:rPr>
            </w:pP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26</w:t>
            </w:r>
          </w:p>
        </w:tc>
        <w:tc>
          <w:tcPr>
            <w:tcW w:w="2500" w:type="dxa"/>
            <w:vAlign w:val="center"/>
          </w:tcPr>
          <w:p>
            <w:pPr>
              <w:rPr>
                <w:sz w:val="18"/>
                <w:szCs w:val="18"/>
                <w:highlight w:val="none"/>
              </w:rPr>
            </w:pP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二十六、抗疫特别国债安排的支出</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56</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本年收入合计</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27</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c>
          <w:tcPr>
            <w:tcW w:w="334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本年支出合计</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57</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使用非财政拨款结余（含专用结余）</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28</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结余分配</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58</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年初结转和结余</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29</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33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年末结转和结余</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59</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总计</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30</w:t>
            </w:r>
          </w:p>
        </w:tc>
        <w:tc>
          <w:tcPr>
            <w:tcW w:w="25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c>
          <w:tcPr>
            <w:tcW w:w="334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总计</w:t>
            </w:r>
          </w:p>
        </w:tc>
        <w:tc>
          <w:tcPr>
            <w:tcW w:w="5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60</w:t>
            </w:r>
          </w:p>
        </w:tc>
        <w:tc>
          <w:tcPr>
            <w:tcW w:w="248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highlight w:val="none"/>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highlight w:val="none"/>
          <w:lang w:val="en-US" w:eastAsia="zh-CN"/>
        </w:rPr>
      </w:pPr>
      <w:r>
        <w:rPr>
          <w:rFonts w:hint="eastAsia" w:ascii="华文中宋" w:hAnsi="华文中宋" w:eastAsia="华文中宋" w:cs="华文中宋"/>
          <w:color w:val="000000"/>
          <w:kern w:val="0"/>
          <w:sz w:val="32"/>
          <w:szCs w:val="32"/>
          <w:highlight w:val="none"/>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highlight w:val="none"/>
              </w:rPr>
            </w:pPr>
            <w:r>
              <w:rPr>
                <w:rFonts w:ascii="宋体" w:hAnsi="宋体" w:eastAsia="宋体" w:cs="宋体"/>
                <w:sz w:val="18"/>
                <w:szCs w:val="18"/>
                <w:highlight w:val="none"/>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3513"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13"/>
        <w:gridCol w:w="2200"/>
        <w:gridCol w:w="1118"/>
        <w:gridCol w:w="1018"/>
        <w:gridCol w:w="618"/>
        <w:gridCol w:w="1082"/>
        <w:gridCol w:w="664"/>
        <w:gridCol w:w="736"/>
        <w:gridCol w:w="67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113"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111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本年收入合计</w:t>
            </w:r>
          </w:p>
        </w:tc>
        <w:tc>
          <w:tcPr>
            <w:tcW w:w="101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财政拨款收入</w:t>
            </w:r>
          </w:p>
        </w:tc>
        <w:tc>
          <w:tcPr>
            <w:tcW w:w="61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上级补助收入</w:t>
            </w:r>
          </w:p>
        </w:tc>
        <w:tc>
          <w:tcPr>
            <w:tcW w:w="1082"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事业收入</w:t>
            </w:r>
          </w:p>
        </w:tc>
        <w:tc>
          <w:tcPr>
            <w:tcW w:w="664"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经营收入</w:t>
            </w:r>
          </w:p>
        </w:tc>
        <w:tc>
          <w:tcPr>
            <w:tcW w:w="736"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附属单位上缴收入</w:t>
            </w:r>
          </w:p>
        </w:tc>
        <w:tc>
          <w:tcPr>
            <w:tcW w:w="677"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功能分类</w:t>
            </w:r>
          </w:p>
          <w:p>
            <w:pPr>
              <w:shd w:val="clear" w:color="auto" w:fill="auto"/>
              <w:snapToGrid w:val="0"/>
              <w:jc w:val="center"/>
              <w:rPr>
                <w:sz w:val="18"/>
                <w:szCs w:val="18"/>
                <w:highlight w:val="none"/>
              </w:rPr>
            </w:pPr>
            <w:r>
              <w:rPr>
                <w:rFonts w:ascii="宋体" w:hAnsi="宋体" w:eastAsia="宋体" w:cs="宋体"/>
                <w:b w:val="0"/>
                <w:i w:val="0"/>
                <w:color w:val="000000"/>
                <w:sz w:val="18"/>
                <w:szCs w:val="18"/>
                <w:highlight w:val="none"/>
              </w:rPr>
              <w:t>科目编码</w:t>
            </w:r>
          </w:p>
        </w:tc>
        <w:tc>
          <w:tcPr>
            <w:tcW w:w="22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1118" w:type="dxa"/>
            <w:vMerge w:val="continue"/>
            <w:vAlign w:val="center"/>
          </w:tcPr>
          <w:p>
            <w:pPr>
              <w:rPr>
                <w:sz w:val="18"/>
                <w:szCs w:val="18"/>
                <w:highlight w:val="none"/>
              </w:rPr>
            </w:pPr>
          </w:p>
        </w:tc>
        <w:tc>
          <w:tcPr>
            <w:tcW w:w="1018" w:type="dxa"/>
            <w:vMerge w:val="continue"/>
            <w:vAlign w:val="center"/>
          </w:tcPr>
          <w:p>
            <w:pPr>
              <w:rPr>
                <w:sz w:val="18"/>
                <w:szCs w:val="18"/>
                <w:highlight w:val="none"/>
              </w:rPr>
            </w:pPr>
          </w:p>
        </w:tc>
        <w:tc>
          <w:tcPr>
            <w:tcW w:w="618" w:type="dxa"/>
            <w:vMerge w:val="continue"/>
            <w:vAlign w:val="center"/>
          </w:tcPr>
          <w:p>
            <w:pPr>
              <w:rPr>
                <w:sz w:val="18"/>
                <w:szCs w:val="18"/>
                <w:highlight w:val="none"/>
              </w:rPr>
            </w:pPr>
          </w:p>
        </w:tc>
        <w:tc>
          <w:tcPr>
            <w:tcW w:w="1082" w:type="dxa"/>
            <w:vMerge w:val="continue"/>
            <w:vAlign w:val="center"/>
          </w:tcPr>
          <w:p>
            <w:pPr>
              <w:rPr>
                <w:sz w:val="18"/>
                <w:szCs w:val="18"/>
                <w:highlight w:val="none"/>
              </w:rPr>
            </w:pPr>
          </w:p>
        </w:tc>
        <w:tc>
          <w:tcPr>
            <w:tcW w:w="664" w:type="dxa"/>
            <w:vMerge w:val="continue"/>
            <w:vAlign w:val="center"/>
          </w:tcPr>
          <w:p>
            <w:pPr>
              <w:rPr>
                <w:sz w:val="18"/>
                <w:szCs w:val="18"/>
                <w:highlight w:val="none"/>
              </w:rPr>
            </w:pPr>
          </w:p>
        </w:tc>
        <w:tc>
          <w:tcPr>
            <w:tcW w:w="736" w:type="dxa"/>
            <w:vMerge w:val="continue"/>
            <w:vAlign w:val="center"/>
          </w:tcPr>
          <w:p>
            <w:pPr>
              <w:rPr>
                <w:sz w:val="18"/>
                <w:szCs w:val="18"/>
                <w:highlight w:val="none"/>
              </w:rPr>
            </w:pPr>
          </w:p>
        </w:tc>
        <w:tc>
          <w:tcPr>
            <w:tcW w:w="677"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rPr>
                <w:sz w:val="18"/>
                <w:szCs w:val="18"/>
                <w:highlight w:val="none"/>
              </w:rPr>
            </w:pPr>
          </w:p>
        </w:tc>
        <w:tc>
          <w:tcPr>
            <w:tcW w:w="2200" w:type="dxa"/>
            <w:vMerge w:val="continue"/>
            <w:vAlign w:val="center"/>
          </w:tcPr>
          <w:p>
            <w:pPr>
              <w:rPr>
                <w:sz w:val="18"/>
                <w:szCs w:val="18"/>
                <w:highlight w:val="none"/>
              </w:rPr>
            </w:pPr>
          </w:p>
        </w:tc>
        <w:tc>
          <w:tcPr>
            <w:tcW w:w="1118" w:type="dxa"/>
            <w:vMerge w:val="continue"/>
            <w:vAlign w:val="center"/>
          </w:tcPr>
          <w:p>
            <w:pPr>
              <w:rPr>
                <w:sz w:val="18"/>
                <w:szCs w:val="18"/>
                <w:highlight w:val="none"/>
              </w:rPr>
            </w:pPr>
          </w:p>
        </w:tc>
        <w:tc>
          <w:tcPr>
            <w:tcW w:w="1018" w:type="dxa"/>
            <w:vMerge w:val="continue"/>
            <w:vAlign w:val="center"/>
          </w:tcPr>
          <w:p>
            <w:pPr>
              <w:rPr>
                <w:sz w:val="18"/>
                <w:szCs w:val="18"/>
                <w:highlight w:val="none"/>
              </w:rPr>
            </w:pPr>
          </w:p>
        </w:tc>
        <w:tc>
          <w:tcPr>
            <w:tcW w:w="618" w:type="dxa"/>
            <w:vMerge w:val="continue"/>
            <w:vAlign w:val="center"/>
          </w:tcPr>
          <w:p>
            <w:pPr>
              <w:rPr>
                <w:sz w:val="18"/>
                <w:szCs w:val="18"/>
                <w:highlight w:val="none"/>
              </w:rPr>
            </w:pPr>
          </w:p>
        </w:tc>
        <w:tc>
          <w:tcPr>
            <w:tcW w:w="1082" w:type="dxa"/>
            <w:vMerge w:val="continue"/>
            <w:vAlign w:val="center"/>
          </w:tcPr>
          <w:p>
            <w:pPr>
              <w:rPr>
                <w:sz w:val="18"/>
                <w:szCs w:val="18"/>
                <w:highlight w:val="none"/>
              </w:rPr>
            </w:pPr>
          </w:p>
        </w:tc>
        <w:tc>
          <w:tcPr>
            <w:tcW w:w="664" w:type="dxa"/>
            <w:vMerge w:val="continue"/>
            <w:vAlign w:val="center"/>
          </w:tcPr>
          <w:p>
            <w:pPr>
              <w:rPr>
                <w:sz w:val="18"/>
                <w:szCs w:val="18"/>
                <w:highlight w:val="none"/>
              </w:rPr>
            </w:pPr>
          </w:p>
        </w:tc>
        <w:tc>
          <w:tcPr>
            <w:tcW w:w="736" w:type="dxa"/>
            <w:vMerge w:val="continue"/>
            <w:vAlign w:val="center"/>
          </w:tcPr>
          <w:p>
            <w:pPr>
              <w:rPr>
                <w:sz w:val="18"/>
                <w:szCs w:val="18"/>
                <w:highlight w:val="none"/>
              </w:rPr>
            </w:pPr>
          </w:p>
        </w:tc>
        <w:tc>
          <w:tcPr>
            <w:tcW w:w="677"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Merge w:val="continue"/>
            <w:vAlign w:val="center"/>
          </w:tcPr>
          <w:p>
            <w:pPr>
              <w:rPr>
                <w:sz w:val="18"/>
                <w:szCs w:val="18"/>
                <w:highlight w:val="none"/>
              </w:rPr>
            </w:pPr>
          </w:p>
        </w:tc>
        <w:tc>
          <w:tcPr>
            <w:tcW w:w="2200" w:type="dxa"/>
            <w:vMerge w:val="continue"/>
            <w:vAlign w:val="center"/>
          </w:tcPr>
          <w:p>
            <w:pPr>
              <w:rPr>
                <w:sz w:val="18"/>
                <w:szCs w:val="18"/>
                <w:highlight w:val="none"/>
              </w:rPr>
            </w:pPr>
          </w:p>
        </w:tc>
        <w:tc>
          <w:tcPr>
            <w:tcW w:w="1118" w:type="dxa"/>
            <w:vMerge w:val="continue"/>
            <w:vAlign w:val="center"/>
          </w:tcPr>
          <w:p>
            <w:pPr>
              <w:rPr>
                <w:sz w:val="18"/>
                <w:szCs w:val="18"/>
                <w:highlight w:val="none"/>
              </w:rPr>
            </w:pPr>
          </w:p>
        </w:tc>
        <w:tc>
          <w:tcPr>
            <w:tcW w:w="1018" w:type="dxa"/>
            <w:vMerge w:val="continue"/>
            <w:vAlign w:val="center"/>
          </w:tcPr>
          <w:p>
            <w:pPr>
              <w:rPr>
                <w:sz w:val="18"/>
                <w:szCs w:val="18"/>
                <w:highlight w:val="none"/>
              </w:rPr>
            </w:pPr>
          </w:p>
        </w:tc>
        <w:tc>
          <w:tcPr>
            <w:tcW w:w="618" w:type="dxa"/>
            <w:vMerge w:val="continue"/>
            <w:vAlign w:val="center"/>
          </w:tcPr>
          <w:p>
            <w:pPr>
              <w:rPr>
                <w:sz w:val="18"/>
                <w:szCs w:val="18"/>
                <w:highlight w:val="none"/>
              </w:rPr>
            </w:pPr>
          </w:p>
        </w:tc>
        <w:tc>
          <w:tcPr>
            <w:tcW w:w="1082" w:type="dxa"/>
            <w:vMerge w:val="continue"/>
            <w:vAlign w:val="center"/>
          </w:tcPr>
          <w:p>
            <w:pPr>
              <w:rPr>
                <w:sz w:val="18"/>
                <w:szCs w:val="18"/>
                <w:highlight w:val="none"/>
              </w:rPr>
            </w:pPr>
          </w:p>
        </w:tc>
        <w:tc>
          <w:tcPr>
            <w:tcW w:w="664" w:type="dxa"/>
            <w:vMerge w:val="continue"/>
            <w:vAlign w:val="center"/>
          </w:tcPr>
          <w:p>
            <w:pPr>
              <w:rPr>
                <w:sz w:val="18"/>
                <w:szCs w:val="18"/>
                <w:highlight w:val="none"/>
              </w:rPr>
            </w:pPr>
          </w:p>
        </w:tc>
        <w:tc>
          <w:tcPr>
            <w:tcW w:w="736" w:type="dxa"/>
            <w:vMerge w:val="continue"/>
            <w:vAlign w:val="center"/>
          </w:tcPr>
          <w:p>
            <w:pPr>
              <w:rPr>
                <w:sz w:val="18"/>
                <w:szCs w:val="18"/>
                <w:highlight w:val="none"/>
              </w:rPr>
            </w:pPr>
          </w:p>
        </w:tc>
        <w:tc>
          <w:tcPr>
            <w:tcW w:w="677"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113"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111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01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61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1082"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664"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736"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c>
          <w:tcPr>
            <w:tcW w:w="677"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113"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33,880.06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134,199.83</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53.93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社会保障和就业支出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行政事业单位养老支出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行政单位离退休</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2080505</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机关事业单位基本养老保险缴费支出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157,785.29</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23,531.53</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134,199.83</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53.93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卫生健康管理事务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4,212.84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4,212.84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行政运行</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一般行政管理事务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其他卫生健康管理事务支出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公立医院</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90,569.29</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5,956.91</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84,568.79</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43.58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综合医院</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65,703.67</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978.18</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64,690.32</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35.17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中医（民族）医院</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20,493.79</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606.91</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19,878.47</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其他公立医院支出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基层医疗卫生机构</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34,518.88</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3,524.24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30,988.78</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乡镇卫生院</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33,573.65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2,579.00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30,988.78</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8"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其他基层医疗卫生机构支出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945.24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945.24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公共卫生</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27,655.23</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9,008.48</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18,642.27</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疾病预防控制机构</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6,483.65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1,961.64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4,519.60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卫生监督机构</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2100403</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妇幼保健机构</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14,348.41</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223.68</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14,122.67</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2100408</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基本公共卫生服务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重大公共卫生服务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1"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2100410</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突发公共卫生事件应急处置</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其他公共卫生支出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计划生育事务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277.38</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277.38</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2100717</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计划生育服务</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其他计划生育事务支出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行政事业单位医疗</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行政单位医疗</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事业单位医疗</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9"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其他行政事业单位医疗支出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农林水支出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农村综合改革</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2130705</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对村民委员会和村党支部的补助</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住房保障支出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住房改革支出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2210201</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住房公积金</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其他政府性基金及对应专项债务收入安排的支出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8"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其他地方自行试点项目收益专项债券收入安排的支出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彩票公益金安排的支出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471.00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471.00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6"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2296002</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用于社会福利的彩票公益金支出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450.00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450.00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0" w:hRule="exact"/>
          <w:jc w:val="center"/>
        </w:trPr>
        <w:tc>
          <w:tcPr>
            <w:tcW w:w="913"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2296099</w:t>
            </w:r>
          </w:p>
        </w:tc>
        <w:tc>
          <w:tcPr>
            <w:tcW w:w="22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用于其他社会公益事业的彩票公益金支出</w:t>
            </w:r>
          </w:p>
        </w:tc>
        <w:tc>
          <w:tcPr>
            <w:tcW w:w="11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21.00</w:t>
            </w:r>
          </w:p>
        </w:tc>
        <w:tc>
          <w:tcPr>
            <w:tcW w:w="10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21.00</w:t>
            </w:r>
          </w:p>
        </w:tc>
        <w:tc>
          <w:tcPr>
            <w:tcW w:w="61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3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7"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highlight w:val="none"/>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highlight w:val="none"/>
              </w:rPr>
            </w:pPr>
            <w:r>
              <w:rPr>
                <w:rFonts w:ascii="宋体" w:hAnsi="宋体" w:eastAsia="宋体" w:cs="宋体"/>
                <w:sz w:val="18"/>
                <w:szCs w:val="18"/>
                <w:highlight w:val="none"/>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3513"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40"/>
        <w:gridCol w:w="2740"/>
        <w:gridCol w:w="1115"/>
        <w:gridCol w:w="1090"/>
        <w:gridCol w:w="1000"/>
        <w:gridCol w:w="682"/>
        <w:gridCol w:w="673"/>
        <w:gridCol w:w="78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1115"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本年支出合计</w:t>
            </w:r>
          </w:p>
        </w:tc>
        <w:tc>
          <w:tcPr>
            <w:tcW w:w="109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基本支出</w:t>
            </w:r>
          </w:p>
        </w:tc>
        <w:tc>
          <w:tcPr>
            <w:tcW w:w="10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项目支出</w:t>
            </w:r>
          </w:p>
        </w:tc>
        <w:tc>
          <w:tcPr>
            <w:tcW w:w="682"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上缴上级支出</w:t>
            </w:r>
          </w:p>
        </w:tc>
        <w:tc>
          <w:tcPr>
            <w:tcW w:w="673"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经营支出</w:t>
            </w:r>
          </w:p>
        </w:tc>
        <w:tc>
          <w:tcPr>
            <w:tcW w:w="786"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功能分类</w:t>
            </w:r>
          </w:p>
          <w:p>
            <w:pPr>
              <w:shd w:val="clear" w:color="auto" w:fill="auto"/>
              <w:snapToGrid w:val="0"/>
              <w:jc w:val="center"/>
              <w:rPr>
                <w:sz w:val="18"/>
                <w:szCs w:val="18"/>
                <w:highlight w:val="none"/>
              </w:rPr>
            </w:pPr>
            <w:r>
              <w:rPr>
                <w:rFonts w:ascii="宋体" w:hAnsi="宋体" w:eastAsia="宋体" w:cs="宋体"/>
                <w:b w:val="0"/>
                <w:i w:val="0"/>
                <w:color w:val="000000"/>
                <w:sz w:val="18"/>
                <w:szCs w:val="18"/>
                <w:highlight w:val="none"/>
              </w:rPr>
              <w:t>科目编码</w:t>
            </w:r>
          </w:p>
        </w:tc>
        <w:tc>
          <w:tcPr>
            <w:tcW w:w="274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1115" w:type="dxa"/>
            <w:vMerge w:val="continue"/>
            <w:vAlign w:val="center"/>
          </w:tcPr>
          <w:p>
            <w:pPr>
              <w:rPr>
                <w:sz w:val="18"/>
                <w:szCs w:val="18"/>
                <w:highlight w:val="none"/>
              </w:rPr>
            </w:pPr>
          </w:p>
        </w:tc>
        <w:tc>
          <w:tcPr>
            <w:tcW w:w="1090" w:type="dxa"/>
            <w:vMerge w:val="continue"/>
            <w:vAlign w:val="center"/>
          </w:tcPr>
          <w:p>
            <w:pPr>
              <w:rPr>
                <w:sz w:val="18"/>
                <w:szCs w:val="18"/>
                <w:highlight w:val="none"/>
              </w:rPr>
            </w:pPr>
          </w:p>
        </w:tc>
        <w:tc>
          <w:tcPr>
            <w:tcW w:w="1000" w:type="dxa"/>
            <w:vMerge w:val="continue"/>
            <w:vAlign w:val="center"/>
          </w:tcPr>
          <w:p>
            <w:pPr>
              <w:rPr>
                <w:sz w:val="18"/>
                <w:szCs w:val="18"/>
                <w:highlight w:val="none"/>
              </w:rPr>
            </w:pPr>
          </w:p>
        </w:tc>
        <w:tc>
          <w:tcPr>
            <w:tcW w:w="682" w:type="dxa"/>
            <w:vMerge w:val="continue"/>
            <w:vAlign w:val="center"/>
          </w:tcPr>
          <w:p>
            <w:pPr>
              <w:rPr>
                <w:sz w:val="18"/>
                <w:szCs w:val="18"/>
                <w:highlight w:val="none"/>
              </w:rPr>
            </w:pPr>
          </w:p>
        </w:tc>
        <w:tc>
          <w:tcPr>
            <w:tcW w:w="673" w:type="dxa"/>
            <w:vMerge w:val="continue"/>
            <w:vAlign w:val="center"/>
          </w:tcPr>
          <w:p>
            <w:pPr>
              <w:rPr>
                <w:sz w:val="18"/>
                <w:szCs w:val="18"/>
                <w:highlight w:val="none"/>
              </w:rPr>
            </w:pPr>
          </w:p>
        </w:tc>
        <w:tc>
          <w:tcPr>
            <w:tcW w:w="786"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Merge w:val="continue"/>
            <w:vAlign w:val="center"/>
          </w:tcPr>
          <w:p>
            <w:pPr>
              <w:rPr>
                <w:sz w:val="18"/>
                <w:szCs w:val="18"/>
                <w:highlight w:val="none"/>
              </w:rPr>
            </w:pPr>
          </w:p>
        </w:tc>
        <w:tc>
          <w:tcPr>
            <w:tcW w:w="2740" w:type="dxa"/>
            <w:vMerge w:val="continue"/>
            <w:vAlign w:val="center"/>
          </w:tcPr>
          <w:p>
            <w:pPr>
              <w:rPr>
                <w:sz w:val="18"/>
                <w:szCs w:val="18"/>
                <w:highlight w:val="none"/>
              </w:rPr>
            </w:pPr>
          </w:p>
        </w:tc>
        <w:tc>
          <w:tcPr>
            <w:tcW w:w="1115" w:type="dxa"/>
            <w:vMerge w:val="continue"/>
            <w:vAlign w:val="center"/>
          </w:tcPr>
          <w:p>
            <w:pPr>
              <w:rPr>
                <w:sz w:val="18"/>
                <w:szCs w:val="18"/>
                <w:highlight w:val="none"/>
              </w:rPr>
            </w:pPr>
          </w:p>
        </w:tc>
        <w:tc>
          <w:tcPr>
            <w:tcW w:w="1090" w:type="dxa"/>
            <w:vMerge w:val="continue"/>
            <w:vAlign w:val="center"/>
          </w:tcPr>
          <w:p>
            <w:pPr>
              <w:rPr>
                <w:sz w:val="18"/>
                <w:szCs w:val="18"/>
                <w:highlight w:val="none"/>
              </w:rPr>
            </w:pPr>
          </w:p>
        </w:tc>
        <w:tc>
          <w:tcPr>
            <w:tcW w:w="1000" w:type="dxa"/>
            <w:vMerge w:val="continue"/>
            <w:vAlign w:val="center"/>
          </w:tcPr>
          <w:p>
            <w:pPr>
              <w:rPr>
                <w:sz w:val="18"/>
                <w:szCs w:val="18"/>
                <w:highlight w:val="none"/>
              </w:rPr>
            </w:pPr>
          </w:p>
        </w:tc>
        <w:tc>
          <w:tcPr>
            <w:tcW w:w="682" w:type="dxa"/>
            <w:vMerge w:val="continue"/>
            <w:vAlign w:val="center"/>
          </w:tcPr>
          <w:p>
            <w:pPr>
              <w:rPr>
                <w:sz w:val="18"/>
                <w:szCs w:val="18"/>
                <w:highlight w:val="none"/>
              </w:rPr>
            </w:pPr>
          </w:p>
        </w:tc>
        <w:tc>
          <w:tcPr>
            <w:tcW w:w="673" w:type="dxa"/>
            <w:vMerge w:val="continue"/>
            <w:vAlign w:val="center"/>
          </w:tcPr>
          <w:p>
            <w:pPr>
              <w:rPr>
                <w:sz w:val="18"/>
                <w:szCs w:val="18"/>
                <w:highlight w:val="none"/>
              </w:rPr>
            </w:pPr>
          </w:p>
        </w:tc>
        <w:tc>
          <w:tcPr>
            <w:tcW w:w="786"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Merge w:val="continue"/>
            <w:vAlign w:val="center"/>
          </w:tcPr>
          <w:p>
            <w:pPr>
              <w:rPr>
                <w:sz w:val="18"/>
                <w:szCs w:val="18"/>
                <w:highlight w:val="none"/>
              </w:rPr>
            </w:pPr>
          </w:p>
        </w:tc>
        <w:tc>
          <w:tcPr>
            <w:tcW w:w="2740" w:type="dxa"/>
            <w:vMerge w:val="continue"/>
            <w:vAlign w:val="center"/>
          </w:tcPr>
          <w:p>
            <w:pPr>
              <w:rPr>
                <w:sz w:val="18"/>
                <w:szCs w:val="18"/>
                <w:highlight w:val="none"/>
              </w:rPr>
            </w:pPr>
          </w:p>
        </w:tc>
        <w:tc>
          <w:tcPr>
            <w:tcW w:w="1115" w:type="dxa"/>
            <w:vMerge w:val="continue"/>
            <w:vAlign w:val="center"/>
          </w:tcPr>
          <w:p>
            <w:pPr>
              <w:rPr>
                <w:sz w:val="18"/>
                <w:szCs w:val="18"/>
                <w:highlight w:val="none"/>
              </w:rPr>
            </w:pPr>
          </w:p>
        </w:tc>
        <w:tc>
          <w:tcPr>
            <w:tcW w:w="1090" w:type="dxa"/>
            <w:vMerge w:val="continue"/>
            <w:vAlign w:val="center"/>
          </w:tcPr>
          <w:p>
            <w:pPr>
              <w:rPr>
                <w:sz w:val="18"/>
                <w:szCs w:val="18"/>
                <w:highlight w:val="none"/>
              </w:rPr>
            </w:pPr>
          </w:p>
        </w:tc>
        <w:tc>
          <w:tcPr>
            <w:tcW w:w="1000" w:type="dxa"/>
            <w:vMerge w:val="continue"/>
            <w:vAlign w:val="center"/>
          </w:tcPr>
          <w:p>
            <w:pPr>
              <w:rPr>
                <w:sz w:val="18"/>
                <w:szCs w:val="18"/>
                <w:highlight w:val="none"/>
              </w:rPr>
            </w:pPr>
          </w:p>
        </w:tc>
        <w:tc>
          <w:tcPr>
            <w:tcW w:w="682" w:type="dxa"/>
            <w:vMerge w:val="continue"/>
            <w:vAlign w:val="center"/>
          </w:tcPr>
          <w:p>
            <w:pPr>
              <w:rPr>
                <w:sz w:val="18"/>
                <w:szCs w:val="18"/>
                <w:highlight w:val="none"/>
              </w:rPr>
            </w:pPr>
          </w:p>
        </w:tc>
        <w:tc>
          <w:tcPr>
            <w:tcW w:w="673" w:type="dxa"/>
            <w:vMerge w:val="continue"/>
            <w:vAlign w:val="center"/>
          </w:tcPr>
          <w:p>
            <w:pPr>
              <w:rPr>
                <w:sz w:val="18"/>
                <w:szCs w:val="18"/>
                <w:highlight w:val="none"/>
              </w:rPr>
            </w:pPr>
          </w:p>
        </w:tc>
        <w:tc>
          <w:tcPr>
            <w:tcW w:w="786"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111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09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0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682"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673"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786"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168,133.82</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154,839.41</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13,294.42</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社会保障和就业支出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623.73</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行政事业单位养老支出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行政单位离退休</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6"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2080505</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机关事业单位基本养老保险缴费支出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20830</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财政代缴社会保险费支出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2083099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财政代缴其他社会保险费支出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44.97</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44.97</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157,785.29</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154,056.31</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3,728.98</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卫生健康管理事务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4,212.84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3,870.74</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行政运行</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一般行政管理事务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其他卫生健康管理事务支出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公立医院</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90,569.29</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88,076.16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2,493.12</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综合医院</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65,703.67</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65,210.55</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493.12</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中医（民族）医院</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20,493.79</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18,493.79</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2,000.00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其他公立医院支出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基层医疗卫生机构</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34,518.88</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34,231.50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287.38</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城市社区卫生机构</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乡镇卫生院</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33,573.65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33,573.65</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其他基层医疗卫生机构支出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945.24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657.86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287.38</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公共卫生</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27,655.23</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27,655.23</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疾病预防控制机构</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6,483.65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6,483.65</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卫生监督机构</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2100403</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妇幼保健机构</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14,348.41</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14,348.41</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2100408</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基本公共卫生服务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重大公共卫生服务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2100410</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突发公共卫生事件应急处置</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其他公共卫生支出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计划生育事务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277.38</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2100717</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计划生育服务</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其他计划生育事务支出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行政事业单位医疗</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行政单位医疗</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事业单位医疗</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其他行政事业单位医疗支出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19.68</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366.36</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19.68</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366.36</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农林水支出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农村综合改革</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2130705</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对村民委员会和村党支部的补助</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住房保障支出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住房改革支出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2210201</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住房公积金</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45"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其他政府性基金及对应专项债务收入安排的支出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1"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其他地方自行试点项目收益专项债券收入安排的支出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7,996.55</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彩票公益金安排的支出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471.00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471.00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2296002</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用于社会福利的彩票公益金支出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450.00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450.00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94" w:hRule="exact"/>
          <w:jc w:val="center"/>
        </w:trPr>
        <w:tc>
          <w:tcPr>
            <w:tcW w:w="9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2296099</w:t>
            </w:r>
          </w:p>
        </w:tc>
        <w:tc>
          <w:tcPr>
            <w:tcW w:w="274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用于其他社会公益事业的彩票公益金支出</w:t>
            </w:r>
          </w:p>
        </w:tc>
        <w:tc>
          <w:tcPr>
            <w:tcW w:w="1115"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21.00</w:t>
            </w:r>
          </w:p>
        </w:tc>
        <w:tc>
          <w:tcPr>
            <w:tcW w:w="109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0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21.00</w:t>
            </w:r>
          </w:p>
        </w:tc>
        <w:tc>
          <w:tcPr>
            <w:tcW w:w="682"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673"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78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highlight w:val="none"/>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highlight w:val="none"/>
              </w:rPr>
            </w:pPr>
            <w:r>
              <w:rPr>
                <w:rFonts w:ascii="宋体" w:hAnsi="宋体" w:eastAsia="宋体" w:cs="宋体"/>
                <w:sz w:val="18"/>
                <w:szCs w:val="18"/>
                <w:highlight w:val="none"/>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412"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54"/>
        <w:gridCol w:w="445"/>
        <w:gridCol w:w="1141"/>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收     入</w:t>
            </w:r>
          </w:p>
        </w:tc>
        <w:tc>
          <w:tcPr>
            <w:tcW w:w="8384" w:type="dxa"/>
            <w:gridSpan w:val="6"/>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4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行次</w:t>
            </w:r>
          </w:p>
        </w:tc>
        <w:tc>
          <w:tcPr>
            <w:tcW w:w="13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金额</w:t>
            </w:r>
          </w:p>
        </w:tc>
        <w:tc>
          <w:tcPr>
            <w:tcW w:w="2854"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445"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行次</w:t>
            </w:r>
          </w:p>
        </w:tc>
        <w:tc>
          <w:tcPr>
            <w:tcW w:w="1141"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3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一般公共预算财政拨款</w:t>
            </w:r>
          </w:p>
        </w:tc>
        <w:tc>
          <w:tcPr>
            <w:tcW w:w="13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政府性基金预算财政拨款</w:t>
            </w:r>
          </w:p>
        </w:tc>
        <w:tc>
          <w:tcPr>
            <w:tcW w:w="1344"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highlight w:val="none"/>
              </w:rPr>
            </w:pPr>
          </w:p>
        </w:tc>
        <w:tc>
          <w:tcPr>
            <w:tcW w:w="460" w:type="dxa"/>
            <w:vMerge w:val="continue"/>
            <w:vAlign w:val="center"/>
          </w:tcPr>
          <w:p>
            <w:pPr>
              <w:rPr>
                <w:sz w:val="18"/>
                <w:szCs w:val="18"/>
                <w:highlight w:val="none"/>
              </w:rPr>
            </w:pPr>
          </w:p>
        </w:tc>
        <w:tc>
          <w:tcPr>
            <w:tcW w:w="1300" w:type="dxa"/>
            <w:vMerge w:val="continue"/>
            <w:vAlign w:val="center"/>
          </w:tcPr>
          <w:p>
            <w:pPr>
              <w:rPr>
                <w:sz w:val="18"/>
                <w:szCs w:val="18"/>
                <w:highlight w:val="none"/>
              </w:rPr>
            </w:pPr>
          </w:p>
        </w:tc>
        <w:tc>
          <w:tcPr>
            <w:tcW w:w="2854" w:type="dxa"/>
            <w:vMerge w:val="continue"/>
            <w:vAlign w:val="center"/>
          </w:tcPr>
          <w:p>
            <w:pPr>
              <w:rPr>
                <w:sz w:val="18"/>
                <w:szCs w:val="18"/>
                <w:highlight w:val="none"/>
              </w:rPr>
            </w:pPr>
          </w:p>
        </w:tc>
        <w:tc>
          <w:tcPr>
            <w:tcW w:w="445" w:type="dxa"/>
            <w:vMerge w:val="continue"/>
            <w:vAlign w:val="center"/>
          </w:tcPr>
          <w:p>
            <w:pPr>
              <w:rPr>
                <w:sz w:val="18"/>
                <w:szCs w:val="18"/>
                <w:highlight w:val="none"/>
              </w:rPr>
            </w:pPr>
          </w:p>
        </w:tc>
        <w:tc>
          <w:tcPr>
            <w:tcW w:w="1141" w:type="dxa"/>
            <w:vMerge w:val="continue"/>
            <w:vAlign w:val="center"/>
          </w:tcPr>
          <w:p>
            <w:pPr>
              <w:rPr>
                <w:sz w:val="18"/>
                <w:szCs w:val="18"/>
                <w:highlight w:val="none"/>
              </w:rPr>
            </w:pPr>
          </w:p>
        </w:tc>
        <w:tc>
          <w:tcPr>
            <w:tcW w:w="1300" w:type="dxa"/>
            <w:vMerge w:val="continue"/>
            <w:vAlign w:val="center"/>
          </w:tcPr>
          <w:p>
            <w:pPr>
              <w:rPr>
                <w:sz w:val="18"/>
                <w:szCs w:val="18"/>
                <w:highlight w:val="none"/>
              </w:rPr>
            </w:pPr>
          </w:p>
        </w:tc>
        <w:tc>
          <w:tcPr>
            <w:tcW w:w="1300" w:type="dxa"/>
            <w:vMerge w:val="continue"/>
            <w:vAlign w:val="center"/>
          </w:tcPr>
          <w:p>
            <w:pPr>
              <w:rPr>
                <w:sz w:val="18"/>
                <w:szCs w:val="18"/>
                <w:highlight w:val="none"/>
              </w:rPr>
            </w:pPr>
          </w:p>
        </w:tc>
        <w:tc>
          <w:tcPr>
            <w:tcW w:w="1344"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460" w:type="dxa"/>
            <w:vAlign w:val="center"/>
          </w:tcPr>
          <w:p>
            <w:pPr>
              <w:rPr>
                <w:sz w:val="18"/>
                <w:szCs w:val="18"/>
                <w:highlight w:val="none"/>
              </w:rPr>
            </w:pPr>
          </w:p>
        </w:tc>
        <w:tc>
          <w:tcPr>
            <w:tcW w:w="13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2854"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445" w:type="dxa"/>
            <w:vAlign w:val="center"/>
          </w:tcPr>
          <w:p>
            <w:pPr>
              <w:rPr>
                <w:sz w:val="18"/>
                <w:szCs w:val="18"/>
                <w:highlight w:val="none"/>
              </w:rPr>
            </w:pPr>
          </w:p>
        </w:tc>
        <w:tc>
          <w:tcPr>
            <w:tcW w:w="1141"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3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130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1344"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一、一般公共预算财政拨款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25,412.51</w:t>
            </w: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一、一般公共服务支出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33</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二、政府性基金预算财政拨款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二、外交支出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34</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三、国有资本经营预算财政拨款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三、国防支出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35</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四、公共安全支出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36</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五、教育支出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37</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六、科学技术支出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38</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7</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七、文化旅游体育与传媒支出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39</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8</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八、社会保障和就业支出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40</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9</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九、卫生健康支出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41</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23,531.53</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23,531.53</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10</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十、节能环保支出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42</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11</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十一、城乡社区支出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43</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12</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十二、农林水支出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44</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13</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十三、交通运输支出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45</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14</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十四、资源勘探工业信息等支出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46</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15</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十五、商业服务业等支出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47</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16</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十六、金融支出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48</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17</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十七、援助其他地区支出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49</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18</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十八、自然资源海洋气象等支出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50</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19</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十九、住房保障支出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51</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20</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二十、粮油物资储备支出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52</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21</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二十一、国有资本经营预算支出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53</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22</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二十二、灾害防治及应急管理支出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54</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23</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二十三、其他支出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55</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24</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二十四、债务还本支出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56</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25</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二十五、债务付息支出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57</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highlight w:val="none"/>
              </w:rPr>
            </w:pP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26</w:t>
            </w:r>
          </w:p>
        </w:tc>
        <w:tc>
          <w:tcPr>
            <w:tcW w:w="1300" w:type="dxa"/>
            <w:vAlign w:val="center"/>
          </w:tcPr>
          <w:p>
            <w:pPr>
              <w:rPr>
                <w:sz w:val="18"/>
                <w:szCs w:val="18"/>
                <w:highlight w:val="none"/>
              </w:rPr>
            </w:pP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二十六、抗疫特别国债安排的支出</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58</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本年收入合计</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27</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33,880.06</w:t>
            </w:r>
          </w:p>
        </w:tc>
        <w:tc>
          <w:tcPr>
            <w:tcW w:w="2854"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本年支出合计</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59</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33,880.06</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25,412.51</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年初财政拨款结转和结余</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28</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854"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年末财政拨款结转和结余</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60</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一般公共预算财政拨款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29</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854" w:type="dxa"/>
            <w:vAlign w:val="center"/>
          </w:tcPr>
          <w:p>
            <w:pPr>
              <w:rPr>
                <w:sz w:val="18"/>
                <w:szCs w:val="18"/>
                <w:highlight w:val="none"/>
              </w:rPr>
            </w:pP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61</w:t>
            </w:r>
          </w:p>
        </w:tc>
        <w:tc>
          <w:tcPr>
            <w:tcW w:w="1141" w:type="dxa"/>
            <w:vAlign w:val="center"/>
          </w:tcPr>
          <w:p>
            <w:pPr>
              <w:rPr>
                <w:sz w:val="18"/>
                <w:szCs w:val="18"/>
                <w:highlight w:val="none"/>
              </w:rPr>
            </w:pPr>
          </w:p>
        </w:tc>
        <w:tc>
          <w:tcPr>
            <w:tcW w:w="1300" w:type="dxa"/>
            <w:vAlign w:val="center"/>
          </w:tcPr>
          <w:p>
            <w:pPr>
              <w:rPr>
                <w:sz w:val="18"/>
                <w:szCs w:val="18"/>
                <w:highlight w:val="none"/>
              </w:rPr>
            </w:pPr>
          </w:p>
        </w:tc>
        <w:tc>
          <w:tcPr>
            <w:tcW w:w="1300" w:type="dxa"/>
            <w:vAlign w:val="center"/>
          </w:tcPr>
          <w:p>
            <w:pPr>
              <w:rPr>
                <w:sz w:val="18"/>
                <w:szCs w:val="18"/>
                <w:highlight w:val="none"/>
              </w:rPr>
            </w:pPr>
          </w:p>
        </w:tc>
        <w:tc>
          <w:tcPr>
            <w:tcW w:w="1344"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政府性基金预算财政拨款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30</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854" w:type="dxa"/>
            <w:vAlign w:val="center"/>
          </w:tcPr>
          <w:p>
            <w:pPr>
              <w:rPr>
                <w:sz w:val="18"/>
                <w:szCs w:val="18"/>
                <w:highlight w:val="none"/>
              </w:rPr>
            </w:pP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62</w:t>
            </w:r>
          </w:p>
        </w:tc>
        <w:tc>
          <w:tcPr>
            <w:tcW w:w="1141" w:type="dxa"/>
            <w:vAlign w:val="center"/>
          </w:tcPr>
          <w:p>
            <w:pPr>
              <w:rPr>
                <w:sz w:val="18"/>
                <w:szCs w:val="18"/>
                <w:highlight w:val="none"/>
              </w:rPr>
            </w:pPr>
          </w:p>
        </w:tc>
        <w:tc>
          <w:tcPr>
            <w:tcW w:w="1300" w:type="dxa"/>
            <w:vAlign w:val="center"/>
          </w:tcPr>
          <w:p>
            <w:pPr>
              <w:rPr>
                <w:sz w:val="18"/>
                <w:szCs w:val="18"/>
                <w:highlight w:val="none"/>
              </w:rPr>
            </w:pPr>
          </w:p>
        </w:tc>
        <w:tc>
          <w:tcPr>
            <w:tcW w:w="1300" w:type="dxa"/>
            <w:vAlign w:val="center"/>
          </w:tcPr>
          <w:p>
            <w:pPr>
              <w:rPr>
                <w:sz w:val="18"/>
                <w:szCs w:val="18"/>
                <w:highlight w:val="none"/>
              </w:rPr>
            </w:pPr>
          </w:p>
        </w:tc>
        <w:tc>
          <w:tcPr>
            <w:tcW w:w="1344"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国有资本经营预算财政拨款</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31</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854" w:type="dxa"/>
            <w:vAlign w:val="center"/>
          </w:tcPr>
          <w:p>
            <w:pPr>
              <w:rPr>
                <w:sz w:val="18"/>
                <w:szCs w:val="18"/>
                <w:highlight w:val="none"/>
              </w:rPr>
            </w:pP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63</w:t>
            </w:r>
          </w:p>
        </w:tc>
        <w:tc>
          <w:tcPr>
            <w:tcW w:w="1141" w:type="dxa"/>
            <w:vAlign w:val="center"/>
          </w:tcPr>
          <w:p>
            <w:pPr>
              <w:rPr>
                <w:sz w:val="18"/>
                <w:szCs w:val="18"/>
                <w:highlight w:val="none"/>
              </w:rPr>
            </w:pPr>
          </w:p>
        </w:tc>
        <w:tc>
          <w:tcPr>
            <w:tcW w:w="1300" w:type="dxa"/>
            <w:vAlign w:val="center"/>
          </w:tcPr>
          <w:p>
            <w:pPr>
              <w:rPr>
                <w:sz w:val="18"/>
                <w:szCs w:val="18"/>
                <w:highlight w:val="none"/>
              </w:rPr>
            </w:pPr>
          </w:p>
        </w:tc>
        <w:tc>
          <w:tcPr>
            <w:tcW w:w="1300" w:type="dxa"/>
            <w:vAlign w:val="center"/>
          </w:tcPr>
          <w:p>
            <w:pPr>
              <w:rPr>
                <w:sz w:val="18"/>
                <w:szCs w:val="18"/>
                <w:highlight w:val="none"/>
              </w:rPr>
            </w:pPr>
          </w:p>
        </w:tc>
        <w:tc>
          <w:tcPr>
            <w:tcW w:w="1344"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总计</w:t>
            </w:r>
          </w:p>
        </w:tc>
        <w:tc>
          <w:tcPr>
            <w:tcW w:w="4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32</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33,880.06</w:t>
            </w:r>
          </w:p>
        </w:tc>
        <w:tc>
          <w:tcPr>
            <w:tcW w:w="2854" w:type="dxa"/>
            <w:vAlign w:val="center"/>
          </w:tcPr>
          <w:p>
            <w:pPr>
              <w:snapToGrid w:val="0"/>
              <w:jc w:val="center"/>
              <w:rPr>
                <w:sz w:val="18"/>
                <w:szCs w:val="18"/>
                <w:highlight w:val="none"/>
              </w:rPr>
            </w:pPr>
            <w:r>
              <w:rPr>
                <w:rFonts w:ascii="宋体" w:hAnsi="宋体" w:eastAsia="宋体" w:cs="宋体"/>
                <w:b/>
                <w:i w:val="0"/>
                <w:color w:val="000000"/>
                <w:sz w:val="18"/>
                <w:szCs w:val="18"/>
                <w:highlight w:val="none"/>
              </w:rPr>
              <w:t>总计</w:t>
            </w:r>
          </w:p>
        </w:tc>
        <w:tc>
          <w:tcPr>
            <w:tcW w:w="445"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64</w:t>
            </w:r>
          </w:p>
        </w:tc>
        <w:tc>
          <w:tcPr>
            <w:tcW w:w="1141"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33,880.06</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25,412.51</w:t>
            </w:r>
          </w:p>
        </w:tc>
        <w:tc>
          <w:tcPr>
            <w:tcW w:w="130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8,467.55</w:t>
            </w:r>
          </w:p>
        </w:tc>
        <w:tc>
          <w:tcPr>
            <w:tcW w:w="134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highlight w:val="none"/>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highlight w:val="none"/>
          <w:lang w:val="en-US" w:eastAsia="zh-CN"/>
        </w:rPr>
      </w:pPr>
      <w:r>
        <w:rPr>
          <w:rFonts w:hint="eastAsia" w:ascii="华文中宋" w:hAnsi="华文中宋" w:eastAsia="华文中宋" w:cs="华文中宋"/>
          <w:color w:val="000000"/>
          <w:kern w:val="0"/>
          <w:sz w:val="32"/>
          <w:szCs w:val="32"/>
          <w:highlight w:val="none"/>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highlight w:val="none"/>
              </w:rPr>
            </w:pPr>
            <w:r>
              <w:rPr>
                <w:rFonts w:ascii="宋体" w:hAnsi="宋体" w:eastAsia="宋体" w:cs="宋体"/>
                <w:sz w:val="18"/>
                <w:szCs w:val="18"/>
                <w:highlight w:val="none"/>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3513"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4306"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功能分类</w:t>
            </w:r>
          </w:p>
          <w:p>
            <w:pPr>
              <w:shd w:val="clear" w:color="auto" w:fill="auto"/>
              <w:snapToGrid w:val="0"/>
              <w:jc w:val="center"/>
              <w:rPr>
                <w:sz w:val="18"/>
                <w:szCs w:val="18"/>
                <w:highlight w:val="none"/>
              </w:rPr>
            </w:pPr>
            <w:r>
              <w:rPr>
                <w:rFonts w:ascii="宋体" w:hAnsi="宋体" w:eastAsia="宋体" w:cs="宋体"/>
                <w:b w:val="0"/>
                <w:i w:val="0"/>
                <w:color w:val="000000"/>
                <w:sz w:val="18"/>
                <w:szCs w:val="18"/>
                <w:highlight w:val="none"/>
              </w:rPr>
              <w:t>科目编码</w:t>
            </w:r>
          </w:p>
        </w:tc>
        <w:tc>
          <w:tcPr>
            <w:tcW w:w="37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144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小计</w:t>
            </w:r>
          </w:p>
        </w:tc>
        <w:tc>
          <w:tcPr>
            <w:tcW w:w="144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基本支出</w:t>
            </w:r>
          </w:p>
        </w:tc>
        <w:tc>
          <w:tcPr>
            <w:tcW w:w="1426"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highlight w:val="none"/>
              </w:rPr>
            </w:pPr>
          </w:p>
        </w:tc>
        <w:tc>
          <w:tcPr>
            <w:tcW w:w="3760" w:type="dxa"/>
            <w:vMerge w:val="continue"/>
            <w:vAlign w:val="center"/>
          </w:tcPr>
          <w:p>
            <w:pPr>
              <w:rPr>
                <w:sz w:val="18"/>
                <w:szCs w:val="18"/>
                <w:highlight w:val="none"/>
              </w:rPr>
            </w:pPr>
          </w:p>
        </w:tc>
        <w:tc>
          <w:tcPr>
            <w:tcW w:w="1440" w:type="dxa"/>
            <w:vMerge w:val="continue"/>
            <w:vAlign w:val="center"/>
          </w:tcPr>
          <w:p>
            <w:pPr>
              <w:rPr>
                <w:sz w:val="18"/>
                <w:szCs w:val="18"/>
                <w:highlight w:val="none"/>
              </w:rPr>
            </w:pPr>
          </w:p>
        </w:tc>
        <w:tc>
          <w:tcPr>
            <w:tcW w:w="1440" w:type="dxa"/>
            <w:vMerge w:val="continue"/>
            <w:vAlign w:val="center"/>
          </w:tcPr>
          <w:p>
            <w:pPr>
              <w:rPr>
                <w:sz w:val="18"/>
                <w:szCs w:val="18"/>
                <w:highlight w:val="none"/>
              </w:rPr>
            </w:pPr>
          </w:p>
        </w:tc>
        <w:tc>
          <w:tcPr>
            <w:tcW w:w="1426"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highlight w:val="none"/>
              </w:rPr>
            </w:pPr>
          </w:p>
        </w:tc>
        <w:tc>
          <w:tcPr>
            <w:tcW w:w="3760" w:type="dxa"/>
            <w:vMerge w:val="continue"/>
            <w:vAlign w:val="center"/>
          </w:tcPr>
          <w:p>
            <w:pPr>
              <w:rPr>
                <w:sz w:val="18"/>
                <w:szCs w:val="18"/>
                <w:highlight w:val="none"/>
              </w:rPr>
            </w:pPr>
          </w:p>
        </w:tc>
        <w:tc>
          <w:tcPr>
            <w:tcW w:w="1440" w:type="dxa"/>
            <w:vMerge w:val="continue"/>
            <w:vAlign w:val="center"/>
          </w:tcPr>
          <w:p>
            <w:pPr>
              <w:rPr>
                <w:sz w:val="18"/>
                <w:szCs w:val="18"/>
                <w:highlight w:val="none"/>
              </w:rPr>
            </w:pPr>
          </w:p>
        </w:tc>
        <w:tc>
          <w:tcPr>
            <w:tcW w:w="1440" w:type="dxa"/>
            <w:vMerge w:val="continue"/>
            <w:vAlign w:val="center"/>
          </w:tcPr>
          <w:p>
            <w:pPr>
              <w:rPr>
                <w:sz w:val="18"/>
                <w:szCs w:val="18"/>
                <w:highlight w:val="none"/>
              </w:rPr>
            </w:pPr>
          </w:p>
        </w:tc>
        <w:tc>
          <w:tcPr>
            <w:tcW w:w="1426"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472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14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44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426"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472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25,412.51</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22,585.64</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2,826.87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社会保障和就业支出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1,260.62</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623.73</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行政事业单位养老支出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578.76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行政单位离退休</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2080505</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机关事业单位基本养老保险缴费支出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560.45</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44.97</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2089999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其他社会保障和就业支出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681.86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44.97</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636.89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23,531.53</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21,802.55</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1,728.98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卫生健康管理事务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4,212.84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3,870.74</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行政运行</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627.72</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一般行政管理事务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342.10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2100199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其他卫生健康管理事务支出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3,243.03</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公立医院</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5,956.91</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5,463.79</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493.12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综合医院</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978.18</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485.06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493.12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中医（民族）医院</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606.91</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606.91</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2100299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其他公立医院支出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4,371.82</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基层医疗卫生机构</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3,524.24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3,236.86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287.38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乡镇卫生院</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2,579.00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2,579.00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2100399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其他基层医疗卫生机构支出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945.24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657.86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287.38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公共卫生</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9,008.48</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9,008.48</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疾病预防控制机构</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1,961.64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1,961.64</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卫生监督机构</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334.08</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2100403</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妇幼保健机构</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223.68</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223.68</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2100405</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应急救治机构</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2100408</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基本公共卫生服务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4,621.24</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2100409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重大公共卫生服务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12.80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2100410</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突发公共卫生事件应急处置</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90.41</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2100499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其他公共卫生支出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1,764.64</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计划生育事务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277.38</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2100717</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计划生育服务</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240.02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2100799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其他计划生育事务支出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37.36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行政事业单位医疗</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165.63</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行政单位医疗</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11.07</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事业单位医疗</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146.90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2101199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其他行政事业单位医疗支出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19.68</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366.36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2109999</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其他卫生健康支出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386.04</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19.68</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366.36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农林水支出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农村综合改革</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2130705</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对村民委员会和村党支部的补助</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461.00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住房保障支出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住房改革支出</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40" w:hRule="exact"/>
          <w:jc w:val="center"/>
        </w:trPr>
        <w:tc>
          <w:tcPr>
            <w:tcW w:w="9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2210201</w:t>
            </w:r>
          </w:p>
        </w:tc>
        <w:tc>
          <w:tcPr>
            <w:tcW w:w="376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住房公积金</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4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159.36</w:t>
            </w:r>
          </w:p>
        </w:tc>
        <w:tc>
          <w:tcPr>
            <w:tcW w:w="1426"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highlight w:val="none"/>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highlight w:val="none"/>
              </w:rPr>
            </w:pPr>
            <w:r>
              <w:rPr>
                <w:rFonts w:ascii="宋体" w:hAnsi="宋体" w:eastAsia="宋体" w:cs="宋体"/>
                <w:sz w:val="18"/>
                <w:szCs w:val="18"/>
                <w:highlight w:val="none"/>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412"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人员经费</w:t>
            </w:r>
          </w:p>
        </w:tc>
        <w:tc>
          <w:tcPr>
            <w:tcW w:w="8684" w:type="dxa"/>
            <w:gridSpan w:val="6"/>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经济分类科目编码</w:t>
            </w:r>
          </w:p>
        </w:tc>
        <w:tc>
          <w:tcPr>
            <w:tcW w:w="2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9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决算数</w:t>
            </w:r>
          </w:p>
        </w:tc>
        <w:tc>
          <w:tcPr>
            <w:tcW w:w="8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经济分类科目编码</w:t>
            </w:r>
          </w:p>
        </w:tc>
        <w:tc>
          <w:tcPr>
            <w:tcW w:w="2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9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决算数</w:t>
            </w:r>
          </w:p>
        </w:tc>
        <w:tc>
          <w:tcPr>
            <w:tcW w:w="80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经济分类科目编码</w:t>
            </w:r>
          </w:p>
        </w:tc>
        <w:tc>
          <w:tcPr>
            <w:tcW w:w="27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964"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highlight w:val="none"/>
              </w:rPr>
            </w:pPr>
          </w:p>
        </w:tc>
        <w:tc>
          <w:tcPr>
            <w:tcW w:w="2380" w:type="dxa"/>
            <w:vMerge w:val="continue"/>
            <w:vAlign w:val="center"/>
          </w:tcPr>
          <w:p>
            <w:pPr>
              <w:rPr>
                <w:sz w:val="18"/>
                <w:szCs w:val="18"/>
                <w:highlight w:val="none"/>
              </w:rPr>
            </w:pPr>
          </w:p>
        </w:tc>
        <w:tc>
          <w:tcPr>
            <w:tcW w:w="960" w:type="dxa"/>
            <w:vMerge w:val="continue"/>
            <w:vAlign w:val="center"/>
          </w:tcPr>
          <w:p>
            <w:pPr>
              <w:rPr>
                <w:sz w:val="18"/>
                <w:szCs w:val="18"/>
                <w:highlight w:val="none"/>
              </w:rPr>
            </w:pPr>
          </w:p>
        </w:tc>
        <w:tc>
          <w:tcPr>
            <w:tcW w:w="800" w:type="dxa"/>
            <w:vMerge w:val="continue"/>
            <w:vAlign w:val="center"/>
          </w:tcPr>
          <w:p>
            <w:pPr>
              <w:rPr>
                <w:sz w:val="18"/>
                <w:szCs w:val="18"/>
                <w:highlight w:val="none"/>
              </w:rPr>
            </w:pPr>
          </w:p>
        </w:tc>
        <w:tc>
          <w:tcPr>
            <w:tcW w:w="2380" w:type="dxa"/>
            <w:vMerge w:val="continue"/>
            <w:vAlign w:val="center"/>
          </w:tcPr>
          <w:p>
            <w:pPr>
              <w:rPr>
                <w:sz w:val="18"/>
                <w:szCs w:val="18"/>
                <w:highlight w:val="none"/>
              </w:rPr>
            </w:pPr>
          </w:p>
        </w:tc>
        <w:tc>
          <w:tcPr>
            <w:tcW w:w="960" w:type="dxa"/>
            <w:vMerge w:val="continue"/>
            <w:vAlign w:val="center"/>
          </w:tcPr>
          <w:p>
            <w:pPr>
              <w:rPr>
                <w:sz w:val="18"/>
                <w:szCs w:val="18"/>
                <w:highlight w:val="none"/>
              </w:rPr>
            </w:pPr>
          </w:p>
        </w:tc>
        <w:tc>
          <w:tcPr>
            <w:tcW w:w="800" w:type="dxa"/>
            <w:vMerge w:val="continue"/>
            <w:vAlign w:val="center"/>
          </w:tcPr>
          <w:p>
            <w:pPr>
              <w:rPr>
                <w:sz w:val="18"/>
                <w:szCs w:val="18"/>
                <w:highlight w:val="none"/>
              </w:rPr>
            </w:pPr>
          </w:p>
        </w:tc>
        <w:tc>
          <w:tcPr>
            <w:tcW w:w="2780" w:type="dxa"/>
            <w:vMerge w:val="continue"/>
            <w:vAlign w:val="center"/>
          </w:tcPr>
          <w:p>
            <w:pPr>
              <w:rPr>
                <w:sz w:val="18"/>
                <w:szCs w:val="18"/>
                <w:highlight w:val="none"/>
              </w:rPr>
            </w:pPr>
          </w:p>
        </w:tc>
        <w:tc>
          <w:tcPr>
            <w:tcW w:w="964"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工资福利支出</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6,597.47</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商品和服务支出</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14,995.57</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307</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债务利息及费用支出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基本工资</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3,889.64</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办公费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201.23</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30701</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国内债务付息</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25.53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津贴补贴</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191.52</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印刷费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74.44</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30702</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国外债务付息</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奖金</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99.89</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咨询费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资本性支出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843.36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30106</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伙食补助费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30204</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手续费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31001</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房屋建筑物购建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30107</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绩效工资</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1,301.95</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30205</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3.99</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31002</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办公设备购置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7"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30108</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机关事业单位基本养老保险缴费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596.39</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30206</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电费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33.25</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31003</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专用设备购置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712.95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30109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职业年金缴费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28.78</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30207</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邮电费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14.81</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31005</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基础设施建设</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30110</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职工基本医疗保险缴费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220.46</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30208</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取暖费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31006</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大型修缮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30111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公务员医疗补助缴费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30209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物业管理费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0.91</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31007</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信息网络及软件购置更新</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30112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其他社会保障缴费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29.83</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差旅费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72.56</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31008</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物资储备</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30113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住房公积金</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239.00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因公出国（境）费用</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31009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土地补偿</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30114</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医疗费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维修（护）费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19.20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31010</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安置补助</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30199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其他工资福利支出</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30214</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租赁费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31011</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地上附着物和青苗补偿</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对个人和家庭的补助</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123.70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30215</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会议费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31012</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拆迁补偿</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离休费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18.31</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30216</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培训费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31013</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公务用车购置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30302</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退休费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30217</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公务接待费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31019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其他交通工具购置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30303</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退职（役）费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30218</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专用材料费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14,422.31</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31021</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文物和陈列品购置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30304</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抚恤金</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30224</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被装购置费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31022</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无形资产购置</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30305</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生活补助</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92.96</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30225</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专用燃料费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31099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其他资本性支出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130.41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30306</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救济费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30226</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劳务费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36.92</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30307</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医疗费补助</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30227</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委托业务费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3.44</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39907</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国家赔偿费用支出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5"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30308</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助学金</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30228</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工会经费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39908</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对民间非营利组织和群众性自治组织补贴</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30309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奖励金</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30229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福利费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9.81</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39909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经常性赠与</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30310</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个人农业生产补贴</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30231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公务用车运行维护费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39910</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资本性赠与</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30311</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代缴社会保险费</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7.63</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30239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其他交通费用</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36.47</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39999</w:t>
            </w:r>
          </w:p>
        </w:tc>
        <w:tc>
          <w:tcPr>
            <w:tcW w:w="27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其他支出</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30399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其他对个人和家庭的补助</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4.80</w:t>
            </w: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30240</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税金及附加费用</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800" w:type="dxa"/>
            <w:vAlign w:val="center"/>
          </w:tcPr>
          <w:p>
            <w:pPr>
              <w:rPr>
                <w:sz w:val="18"/>
                <w:szCs w:val="18"/>
                <w:highlight w:val="none"/>
              </w:rPr>
            </w:pPr>
          </w:p>
        </w:tc>
        <w:tc>
          <w:tcPr>
            <w:tcW w:w="2780" w:type="dxa"/>
            <w:vAlign w:val="center"/>
          </w:tcPr>
          <w:p>
            <w:pPr>
              <w:rPr>
                <w:sz w:val="18"/>
                <w:szCs w:val="18"/>
                <w:highlight w:val="none"/>
              </w:rPr>
            </w:pPr>
          </w:p>
        </w:tc>
        <w:tc>
          <w:tcPr>
            <w:tcW w:w="964"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highlight w:val="none"/>
              </w:rPr>
            </w:pPr>
          </w:p>
        </w:tc>
        <w:tc>
          <w:tcPr>
            <w:tcW w:w="2380" w:type="dxa"/>
            <w:vAlign w:val="center"/>
          </w:tcPr>
          <w:p>
            <w:pPr>
              <w:rPr>
                <w:sz w:val="18"/>
                <w:szCs w:val="18"/>
                <w:highlight w:val="none"/>
              </w:rPr>
            </w:pPr>
          </w:p>
        </w:tc>
        <w:tc>
          <w:tcPr>
            <w:tcW w:w="960" w:type="dxa"/>
            <w:vAlign w:val="center"/>
          </w:tcPr>
          <w:p>
            <w:pPr>
              <w:rPr>
                <w:sz w:val="18"/>
                <w:szCs w:val="18"/>
                <w:highlight w:val="none"/>
              </w:rPr>
            </w:pPr>
          </w:p>
        </w:tc>
        <w:tc>
          <w:tcPr>
            <w:tcW w:w="80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30299</w:t>
            </w:r>
          </w:p>
        </w:tc>
        <w:tc>
          <w:tcPr>
            <w:tcW w:w="2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其他商品和服务支出</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66.24</w:t>
            </w:r>
          </w:p>
        </w:tc>
        <w:tc>
          <w:tcPr>
            <w:tcW w:w="800" w:type="dxa"/>
            <w:vAlign w:val="center"/>
          </w:tcPr>
          <w:p>
            <w:pPr>
              <w:rPr>
                <w:sz w:val="18"/>
                <w:szCs w:val="18"/>
                <w:highlight w:val="none"/>
              </w:rPr>
            </w:pPr>
          </w:p>
        </w:tc>
        <w:tc>
          <w:tcPr>
            <w:tcW w:w="2780" w:type="dxa"/>
            <w:vAlign w:val="center"/>
          </w:tcPr>
          <w:p>
            <w:pPr>
              <w:rPr>
                <w:sz w:val="18"/>
                <w:szCs w:val="18"/>
                <w:highlight w:val="none"/>
              </w:rPr>
            </w:pPr>
          </w:p>
        </w:tc>
        <w:tc>
          <w:tcPr>
            <w:tcW w:w="964"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人员经费合计</w:t>
            </w:r>
          </w:p>
        </w:tc>
        <w:tc>
          <w:tcPr>
            <w:tcW w:w="9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6,721.17</w:t>
            </w:r>
          </w:p>
        </w:tc>
        <w:tc>
          <w:tcPr>
            <w:tcW w:w="7720" w:type="dxa"/>
            <w:gridSpan w:val="5"/>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公用经费合计</w:t>
            </w:r>
          </w:p>
        </w:tc>
        <w:tc>
          <w:tcPr>
            <w:tcW w:w="964"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15,864.47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highlight w:val="none"/>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highlight w:val="none"/>
              </w:rPr>
            </w:pPr>
            <w:r>
              <w:rPr>
                <w:rFonts w:ascii="宋体" w:hAnsi="宋体" w:eastAsia="宋体" w:cs="宋体"/>
                <w:sz w:val="18"/>
                <w:szCs w:val="18"/>
                <w:highlight w:val="none"/>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979"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1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年初结转和结余</w:t>
            </w:r>
          </w:p>
        </w:tc>
        <w:tc>
          <w:tcPr>
            <w:tcW w:w="1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本年收入</w:t>
            </w:r>
          </w:p>
        </w:tc>
        <w:tc>
          <w:tcPr>
            <w:tcW w:w="414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本年支出</w:t>
            </w:r>
          </w:p>
        </w:tc>
        <w:tc>
          <w:tcPr>
            <w:tcW w:w="135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功能分类</w:t>
            </w:r>
          </w:p>
          <w:p>
            <w:pPr>
              <w:shd w:val="clear" w:color="auto" w:fill="auto"/>
              <w:snapToGrid w:val="0"/>
              <w:jc w:val="center"/>
              <w:rPr>
                <w:sz w:val="18"/>
                <w:szCs w:val="18"/>
                <w:highlight w:val="none"/>
              </w:rPr>
            </w:pPr>
            <w:r>
              <w:rPr>
                <w:rFonts w:ascii="宋体" w:hAnsi="宋体" w:eastAsia="宋体" w:cs="宋体"/>
                <w:b w:val="0"/>
                <w:i w:val="0"/>
                <w:color w:val="000000"/>
                <w:sz w:val="18"/>
                <w:szCs w:val="18"/>
                <w:highlight w:val="none"/>
              </w:rPr>
              <w:t>科目编码</w:t>
            </w:r>
          </w:p>
        </w:tc>
        <w:tc>
          <w:tcPr>
            <w:tcW w:w="4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小计</w:t>
            </w:r>
          </w:p>
        </w:tc>
        <w:tc>
          <w:tcPr>
            <w:tcW w:w="1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基本支出</w:t>
            </w:r>
          </w:p>
        </w:tc>
        <w:tc>
          <w:tcPr>
            <w:tcW w:w="13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项目支出</w:t>
            </w:r>
          </w:p>
        </w:tc>
        <w:tc>
          <w:tcPr>
            <w:tcW w:w="135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highlight w:val="none"/>
              </w:rPr>
            </w:pPr>
          </w:p>
        </w:tc>
        <w:tc>
          <w:tcPr>
            <w:tcW w:w="4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5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highlight w:val="none"/>
              </w:rPr>
            </w:pPr>
          </w:p>
        </w:tc>
        <w:tc>
          <w:tcPr>
            <w:tcW w:w="4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80" w:type="dxa"/>
            <w:vMerge w:val="continue"/>
            <w:vAlign w:val="center"/>
          </w:tcPr>
          <w:p>
            <w:pPr>
              <w:rPr>
                <w:sz w:val="18"/>
                <w:szCs w:val="18"/>
                <w:highlight w:val="none"/>
              </w:rPr>
            </w:pPr>
          </w:p>
        </w:tc>
        <w:tc>
          <w:tcPr>
            <w:tcW w:w="135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13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3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3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13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13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135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8,467.55</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其他政府性基金及对应专项债务收入安排的支出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2290402</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其他地方自行试点项目收益专项债券收入安排的支出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7,996.55</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彩票公益金安排的支出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471.00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471.00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471.00</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2296002</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用于社会福利的彩票公益金支出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450.00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450.00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450.00</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2296099</w:t>
            </w:r>
          </w:p>
        </w:tc>
        <w:tc>
          <w:tcPr>
            <w:tcW w:w="4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用于其他社会公益事业的彩票公益金支出</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c>
          <w:tcPr>
            <w:tcW w:w="1380"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21.00</w:t>
            </w:r>
          </w:p>
        </w:tc>
        <w:tc>
          <w:tcPr>
            <w:tcW w:w="1358" w:type="dxa"/>
            <w:vAlign w:val="center"/>
          </w:tcPr>
          <w:p>
            <w:pPr>
              <w:snapToGrid w:val="0"/>
              <w:jc w:val="lef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注：本表反映本年度政府性基金预算财政拨款收入、支出及结转和结余情况。</w:t>
            </w:r>
          </w:p>
        </w:tc>
      </w:tr>
    </w:tbl>
    <w:p>
      <w:pPr>
        <w:rPr>
          <w:highlight w:val="none"/>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highlight w:val="none"/>
          <w:lang w:val="en-US" w:eastAsia="zh-CN"/>
        </w:rPr>
      </w:pPr>
      <w:r>
        <w:rPr>
          <w:rFonts w:hint="eastAsia" w:ascii="华文中宋" w:hAnsi="华文中宋" w:eastAsia="华文中宋" w:cs="宋体"/>
          <w:kern w:val="0"/>
          <w:sz w:val="32"/>
          <w:szCs w:val="32"/>
          <w:highlight w:val="none"/>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highlight w:val="none"/>
              </w:rPr>
            </w:pPr>
            <w:r>
              <w:rPr>
                <w:rFonts w:ascii="宋体" w:hAnsi="宋体" w:eastAsia="宋体" w:cs="宋体"/>
                <w:sz w:val="18"/>
                <w:szCs w:val="18"/>
                <w:highlight w:val="none"/>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979"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w:t>
            </w:r>
          </w:p>
        </w:tc>
        <w:tc>
          <w:tcPr>
            <w:tcW w:w="6518"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科目代码</w:t>
            </w:r>
          </w:p>
        </w:tc>
        <w:tc>
          <w:tcPr>
            <w:tcW w:w="55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科目名称</w:t>
            </w:r>
          </w:p>
        </w:tc>
        <w:tc>
          <w:tcPr>
            <w:tcW w:w="21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218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基本支出</w:t>
            </w:r>
          </w:p>
        </w:tc>
        <w:tc>
          <w:tcPr>
            <w:tcW w:w="215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highlight w:val="none"/>
              </w:rPr>
            </w:pPr>
          </w:p>
        </w:tc>
        <w:tc>
          <w:tcPr>
            <w:tcW w:w="5580" w:type="dxa"/>
            <w:vMerge w:val="continue"/>
            <w:vAlign w:val="center"/>
          </w:tcPr>
          <w:p>
            <w:pPr>
              <w:rPr>
                <w:sz w:val="18"/>
                <w:szCs w:val="18"/>
                <w:highlight w:val="none"/>
              </w:rPr>
            </w:pPr>
          </w:p>
        </w:tc>
        <w:tc>
          <w:tcPr>
            <w:tcW w:w="2180" w:type="dxa"/>
            <w:vMerge w:val="continue"/>
            <w:vAlign w:val="center"/>
          </w:tcPr>
          <w:p>
            <w:pPr>
              <w:rPr>
                <w:sz w:val="18"/>
                <w:szCs w:val="18"/>
                <w:highlight w:val="none"/>
              </w:rPr>
            </w:pPr>
          </w:p>
        </w:tc>
        <w:tc>
          <w:tcPr>
            <w:tcW w:w="2180" w:type="dxa"/>
            <w:vMerge w:val="continue"/>
            <w:vAlign w:val="center"/>
          </w:tcPr>
          <w:p>
            <w:pPr>
              <w:rPr>
                <w:sz w:val="18"/>
                <w:szCs w:val="18"/>
                <w:highlight w:val="none"/>
              </w:rPr>
            </w:pPr>
          </w:p>
        </w:tc>
        <w:tc>
          <w:tcPr>
            <w:tcW w:w="215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highlight w:val="none"/>
              </w:rPr>
            </w:pPr>
          </w:p>
        </w:tc>
        <w:tc>
          <w:tcPr>
            <w:tcW w:w="5580" w:type="dxa"/>
            <w:vMerge w:val="continue"/>
            <w:vAlign w:val="center"/>
          </w:tcPr>
          <w:p>
            <w:pPr>
              <w:rPr>
                <w:sz w:val="18"/>
                <w:szCs w:val="18"/>
                <w:highlight w:val="none"/>
              </w:rPr>
            </w:pPr>
          </w:p>
        </w:tc>
        <w:tc>
          <w:tcPr>
            <w:tcW w:w="2180" w:type="dxa"/>
            <w:vMerge w:val="continue"/>
            <w:vAlign w:val="center"/>
          </w:tcPr>
          <w:p>
            <w:pPr>
              <w:rPr>
                <w:sz w:val="18"/>
                <w:szCs w:val="18"/>
                <w:highlight w:val="none"/>
              </w:rPr>
            </w:pPr>
          </w:p>
        </w:tc>
        <w:tc>
          <w:tcPr>
            <w:tcW w:w="2180" w:type="dxa"/>
            <w:vMerge w:val="continue"/>
            <w:vAlign w:val="center"/>
          </w:tcPr>
          <w:p>
            <w:pPr>
              <w:rPr>
                <w:sz w:val="18"/>
                <w:szCs w:val="18"/>
                <w:highlight w:val="none"/>
              </w:rPr>
            </w:pPr>
          </w:p>
        </w:tc>
        <w:tc>
          <w:tcPr>
            <w:tcW w:w="215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栏次</w:t>
            </w:r>
          </w:p>
        </w:tc>
        <w:tc>
          <w:tcPr>
            <w:tcW w:w="21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218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215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218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18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215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highlight w:val="none"/>
              </w:rPr>
            </w:pPr>
          </w:p>
        </w:tc>
        <w:tc>
          <w:tcPr>
            <w:tcW w:w="5580" w:type="dxa"/>
            <w:vAlign w:val="center"/>
          </w:tcPr>
          <w:p>
            <w:pPr>
              <w:rPr>
                <w:sz w:val="18"/>
                <w:szCs w:val="18"/>
                <w:highlight w:val="none"/>
              </w:rPr>
            </w:pPr>
          </w:p>
        </w:tc>
        <w:tc>
          <w:tcPr>
            <w:tcW w:w="2180" w:type="dxa"/>
            <w:vAlign w:val="center"/>
          </w:tcPr>
          <w:p>
            <w:pPr>
              <w:rPr>
                <w:sz w:val="18"/>
                <w:szCs w:val="18"/>
                <w:highlight w:val="none"/>
              </w:rPr>
            </w:pPr>
          </w:p>
        </w:tc>
        <w:tc>
          <w:tcPr>
            <w:tcW w:w="2180" w:type="dxa"/>
            <w:vAlign w:val="center"/>
          </w:tcPr>
          <w:p>
            <w:pPr>
              <w:rPr>
                <w:sz w:val="18"/>
                <w:szCs w:val="18"/>
                <w:highlight w:val="none"/>
              </w:rPr>
            </w:pPr>
          </w:p>
        </w:tc>
        <w:tc>
          <w:tcPr>
            <w:tcW w:w="2158" w:type="dxa"/>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highlight w:val="none"/>
              </w:rPr>
            </w:pPr>
            <w:r>
              <w:rPr>
                <w:rFonts w:ascii="宋体" w:hAnsi="宋体" w:eastAsia="宋体" w:cs="宋体"/>
                <w:b w:val="0"/>
                <w:i w:val="0"/>
                <w:color w:val="000000"/>
                <w:sz w:val="18"/>
                <w:szCs w:val="18"/>
                <w:highlight w:val="none"/>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highlight w:val="none"/>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highlight w:val="none"/>
          <w:lang w:val="en-US" w:eastAsia="zh-CN"/>
        </w:rPr>
        <w:t>说明：我部门没有使用国有资本经营预算安排的支出，故本表无数据。</w:t>
      </w:r>
      <w:r>
        <w:rPr>
          <w:rFonts w:hint="eastAsia" w:ascii="宋体" w:hAnsi="宋体" w:eastAsia="宋体" w:cs="宋体"/>
          <w:color w:val="000000"/>
          <w:kern w:val="0"/>
          <w:sz w:val="20"/>
          <w:szCs w:val="20"/>
          <w:highlight w:val="none"/>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highlight w:val="none"/>
          <w:lang w:val="en-US" w:eastAsia="zh-CN"/>
        </w:rPr>
      </w:pPr>
      <w:r>
        <w:rPr>
          <w:rFonts w:hint="eastAsia" w:ascii="华文中宋" w:hAnsi="华文中宋" w:eastAsia="华文中宋" w:cs="华文中宋"/>
          <w:color w:val="000000"/>
          <w:kern w:val="0"/>
          <w:sz w:val="32"/>
          <w:szCs w:val="32"/>
          <w:highlight w:val="none"/>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highlight w:val="none"/>
              </w:rPr>
            </w:pPr>
            <w:r>
              <w:rPr>
                <w:rFonts w:ascii="宋体" w:hAnsi="宋体" w:eastAsia="宋体" w:cs="宋体"/>
                <w:sz w:val="18"/>
                <w:szCs w:val="18"/>
                <w:highlight w:val="none"/>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highlight w:val="none"/>
              </w:rPr>
            </w:pPr>
            <w:r>
              <w:rPr>
                <w:rFonts w:ascii="宋体" w:hAnsi="宋体" w:eastAsia="宋体" w:cs="宋体"/>
                <w:sz w:val="18"/>
                <w:szCs w:val="18"/>
                <w:highlight w:val="none"/>
              </w:rPr>
              <w:t>部门：郸城县卫生健康委员会</w:t>
            </w:r>
          </w:p>
        </w:tc>
        <w:tc>
          <w:tcPr>
            <w:tcW w:w="2000" w:type="dxa"/>
          </w:tcPr>
          <w:p>
            <w:pPr>
              <w:jc w:val="center"/>
              <w:rPr>
                <w:sz w:val="18"/>
                <w:szCs w:val="18"/>
                <w:highlight w:val="none"/>
              </w:rPr>
            </w:pPr>
            <w:r>
              <w:rPr>
                <w:rFonts w:ascii="宋体" w:hAnsi="宋体" w:eastAsia="宋体" w:cs="宋体"/>
                <w:sz w:val="18"/>
                <w:szCs w:val="18"/>
                <w:highlight w:val="none"/>
              </w:rPr>
              <w:t>2024年度</w:t>
            </w:r>
          </w:p>
        </w:tc>
        <w:tc>
          <w:tcPr>
            <w:tcW w:w="5979" w:type="dxa"/>
          </w:tcPr>
          <w:p>
            <w:pPr>
              <w:jc w:val="right"/>
              <w:rPr>
                <w:rFonts w:hint="eastAsia" w:eastAsia="宋体"/>
                <w:sz w:val="18"/>
                <w:szCs w:val="18"/>
                <w:highlight w:val="none"/>
                <w:lang w:eastAsia="zh-CN"/>
              </w:rPr>
            </w:pPr>
            <w:r>
              <w:rPr>
                <w:rFonts w:hint="eastAsia" w:ascii="宋体" w:hAnsi="宋体" w:cs="宋体"/>
                <w:sz w:val="18"/>
                <w:szCs w:val="18"/>
                <w:highlight w:val="none"/>
                <w:lang w:eastAsia="zh-CN"/>
              </w:rPr>
              <w:t>金额单位：万元</w:t>
            </w:r>
          </w:p>
        </w:tc>
      </w:tr>
    </w:tbl>
    <w:p>
      <w:pPr>
        <w:snapToGrid w:val="0"/>
        <w:spacing w:before="0" w:after="0" w:line="0" w:lineRule="auto"/>
        <w:rPr>
          <w:sz w:val="18"/>
          <w:szCs w:val="18"/>
          <w:highlight w:val="none"/>
        </w:rPr>
      </w:pPr>
      <w:r>
        <w:rPr>
          <w:sz w:val="18"/>
          <w:szCs w:val="18"/>
          <w:highlight w:val="none"/>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预算数</w:t>
            </w:r>
          </w:p>
        </w:tc>
        <w:tc>
          <w:tcPr>
            <w:tcW w:w="6998" w:type="dxa"/>
            <w:gridSpan w:val="6"/>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1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因公出国（境）费</w:t>
            </w:r>
          </w:p>
        </w:tc>
        <w:tc>
          <w:tcPr>
            <w:tcW w:w="348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公务用车购置及运行维护费</w:t>
            </w:r>
          </w:p>
        </w:tc>
        <w:tc>
          <w:tcPr>
            <w:tcW w:w="11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公务接待费</w:t>
            </w:r>
          </w:p>
        </w:tc>
        <w:tc>
          <w:tcPr>
            <w:tcW w:w="11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合计</w:t>
            </w:r>
          </w:p>
        </w:tc>
        <w:tc>
          <w:tcPr>
            <w:tcW w:w="1160"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因公出国（境）费</w:t>
            </w:r>
          </w:p>
        </w:tc>
        <w:tc>
          <w:tcPr>
            <w:tcW w:w="3480" w:type="dxa"/>
            <w:gridSpan w:val="3"/>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公务用车购置及运行维护费</w:t>
            </w:r>
          </w:p>
        </w:tc>
        <w:tc>
          <w:tcPr>
            <w:tcW w:w="1198" w:type="dxa"/>
            <w:vMerge w:val="restart"/>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highlight w:val="none"/>
              </w:rPr>
            </w:pPr>
          </w:p>
        </w:tc>
        <w:tc>
          <w:tcPr>
            <w:tcW w:w="1160" w:type="dxa"/>
            <w:vMerge w:val="continue"/>
            <w:vAlign w:val="center"/>
          </w:tcPr>
          <w:p>
            <w:pPr>
              <w:rPr>
                <w:sz w:val="18"/>
                <w:szCs w:val="18"/>
                <w:highlight w:val="none"/>
              </w:rPr>
            </w:pP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小计</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公务用车购置费</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公务用车运行维护费</w:t>
            </w:r>
          </w:p>
        </w:tc>
        <w:tc>
          <w:tcPr>
            <w:tcW w:w="1160" w:type="dxa"/>
            <w:vMerge w:val="continue"/>
            <w:vAlign w:val="center"/>
          </w:tcPr>
          <w:p>
            <w:pPr>
              <w:rPr>
                <w:sz w:val="18"/>
                <w:szCs w:val="18"/>
                <w:highlight w:val="none"/>
              </w:rPr>
            </w:pPr>
          </w:p>
        </w:tc>
        <w:tc>
          <w:tcPr>
            <w:tcW w:w="1160" w:type="dxa"/>
            <w:vMerge w:val="continue"/>
            <w:vAlign w:val="center"/>
          </w:tcPr>
          <w:p>
            <w:pPr>
              <w:rPr>
                <w:sz w:val="18"/>
                <w:szCs w:val="18"/>
                <w:highlight w:val="none"/>
              </w:rPr>
            </w:pPr>
          </w:p>
        </w:tc>
        <w:tc>
          <w:tcPr>
            <w:tcW w:w="1160" w:type="dxa"/>
            <w:vMerge w:val="continue"/>
            <w:vAlign w:val="center"/>
          </w:tcPr>
          <w:p>
            <w:pPr>
              <w:rPr>
                <w:sz w:val="18"/>
                <w:szCs w:val="18"/>
                <w:highlight w:val="none"/>
              </w:rPr>
            </w:pP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小计</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公务用车购置费</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公务用车运行维护费</w:t>
            </w:r>
          </w:p>
        </w:tc>
        <w:tc>
          <w:tcPr>
            <w:tcW w:w="1198" w:type="dxa"/>
            <w:vMerge w:val="continue"/>
            <w:vAlign w:val="center"/>
          </w:tcPr>
          <w:p>
            <w:pPr>
              <w:rPr>
                <w:sz w:val="18"/>
                <w:szCs w:val="18"/>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2</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3</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4</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5</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6</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7</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8</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9</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10</w:t>
            </w:r>
          </w:p>
        </w:tc>
        <w:tc>
          <w:tcPr>
            <w:tcW w:w="1160"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11</w:t>
            </w:r>
          </w:p>
        </w:tc>
        <w:tc>
          <w:tcPr>
            <w:tcW w:w="1198" w:type="dxa"/>
            <w:vAlign w:val="center"/>
          </w:tcPr>
          <w:p>
            <w:pPr>
              <w:snapToGrid w:val="0"/>
              <w:jc w:val="center"/>
              <w:rPr>
                <w:sz w:val="18"/>
                <w:szCs w:val="18"/>
                <w:highlight w:val="none"/>
              </w:rPr>
            </w:pPr>
            <w:r>
              <w:rPr>
                <w:rFonts w:ascii="宋体" w:hAnsi="宋体" w:eastAsia="宋体" w:cs="宋体"/>
                <w:b w:val="0"/>
                <w:i w:val="0"/>
                <w:color w:val="000000"/>
                <w:sz w:val="18"/>
                <w:szCs w:val="18"/>
                <w:highlight w:val="none"/>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60"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c>
          <w:tcPr>
            <w:tcW w:w="1198" w:type="dxa"/>
            <w:vAlign w:val="center"/>
          </w:tcPr>
          <w:p>
            <w:pPr>
              <w:snapToGrid w:val="0"/>
              <w:jc w:val="right"/>
              <w:rPr>
                <w:sz w:val="18"/>
                <w:szCs w:val="18"/>
                <w:highlight w:val="none"/>
              </w:rPr>
            </w:pPr>
            <w:r>
              <w:rPr>
                <w:rFonts w:ascii="宋体" w:hAnsi="宋体" w:eastAsia="宋体" w:cs="宋体"/>
                <w:b w:val="0"/>
                <w:i w:val="0"/>
                <w:color w:val="000000"/>
                <w:sz w:val="18"/>
                <w:szCs w:val="18"/>
                <w:highlight w:val="none"/>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highlight w:val="none"/>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highlight w:val="none"/>
          <w:lang w:val="en-US" w:eastAsia="zh-CN"/>
        </w:rPr>
        <w:t>说明：我部门没有“三公”经费预算，也没有“三公”经费支出，故本表无数据。</w:t>
      </w:r>
      <w:r>
        <w:rPr>
          <w:rFonts w:hint="eastAsia" w:ascii="宋体" w:hAnsi="宋体" w:eastAsia="宋体" w:cs="宋体"/>
          <w:color w:val="000000"/>
          <w:kern w:val="0"/>
          <w:sz w:val="19"/>
          <w:szCs w:val="19"/>
          <w:highlight w:val="none"/>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highlight w:val="none"/>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highlight w:val="none"/>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highlight w:val="none"/>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r>
        <w:rPr>
          <w:rFonts w:hint="eastAsia" w:ascii="黑体" w:hAnsi="黑体" w:eastAsia="黑体" w:cs="黑体"/>
          <w:sz w:val="48"/>
          <w:szCs w:val="48"/>
          <w:highlight w:val="none"/>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highlight w:val="none"/>
          <w:lang w:val="en-US" w:eastAsia="zh-CN"/>
        </w:rPr>
      </w:pPr>
      <w:r>
        <w:rPr>
          <w:rFonts w:hint="eastAsia"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年度收、支总计均为168133.82万元。</w:t>
      </w:r>
      <w:r>
        <w:rPr>
          <w:rFonts w:hint="eastAsia" w:ascii="仿宋" w:hAnsi="仿宋" w:eastAsia="仿宋" w:cs="仿宋"/>
          <w:snapToGrid/>
          <w:color w:val="auto"/>
          <w:kern w:val="2"/>
          <w:sz w:val="32"/>
          <w:szCs w:val="32"/>
          <w:highlight w:val="none"/>
          <w:lang w:val="en-US" w:eastAsia="zh-CN" w:bidi="ar-SA"/>
        </w:rPr>
        <w:t>与上年度相比，收、支总计各减少14746.76万元，下降8.06%，主要原因是：本年我单位业务活动减少，支出减少。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年度收入合计</w:t>
      </w:r>
      <w:r>
        <w:rPr>
          <w:rFonts w:hint="eastAsia" w:ascii="仿宋_GB2312" w:hAnsi="Times New Roman" w:eastAsia="仿宋_GB2312"/>
          <w:sz w:val="32"/>
          <w:szCs w:val="32"/>
          <w:highlight w:val="none"/>
          <w:lang w:val="en-US" w:eastAsia="zh-CN"/>
        </w:rPr>
        <w:t>168133.82</w:t>
      </w:r>
      <w:r>
        <w:rPr>
          <w:rFonts w:hint="eastAsia" w:ascii="仿宋_GB2312" w:hAnsi="仿宋_GB2312" w:eastAsia="仿宋_GB2312" w:cs="仿宋_GB2312"/>
          <w:sz w:val="32"/>
          <w:szCs w:val="32"/>
          <w:highlight w:val="none"/>
          <w:lang w:val="en-US" w:eastAsia="zh-CN"/>
        </w:rPr>
        <w:t>万元，其中：财政拨款收入33880.06万元，占20.15%;事业收入134199.83万元，占79.82%;其他收入53.93万元，占0.03%。</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年度支出合计</w:t>
      </w:r>
      <w:r>
        <w:rPr>
          <w:rFonts w:hint="eastAsia" w:ascii="仿宋_GB2312" w:hAnsi="Times New Roman" w:eastAsia="仿宋_GB2312"/>
          <w:sz w:val="32"/>
          <w:szCs w:val="32"/>
          <w:highlight w:val="none"/>
          <w:lang w:val="en-US" w:eastAsia="zh-CN"/>
        </w:rPr>
        <w:t>168133.82</w:t>
      </w:r>
      <w:r>
        <w:rPr>
          <w:rFonts w:hint="eastAsia" w:ascii="仿宋_GB2312" w:hAnsi="仿宋_GB2312" w:eastAsia="仿宋_GB2312" w:cs="仿宋_GB2312"/>
          <w:sz w:val="32"/>
          <w:szCs w:val="32"/>
          <w:highlight w:val="none"/>
          <w:lang w:val="en-US" w:eastAsia="zh-CN"/>
        </w:rPr>
        <w:t>万元，其中：基本支出154839.41万元，占92.09%;项目支出13294.42万元，占7.91%。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eastAsia="仿宋_GB2312"/>
          <w:sz w:val="32"/>
          <w:szCs w:val="32"/>
          <w:highlight w:val="none"/>
          <w:lang w:val="en-US" w:eastAsia="zh-CN"/>
        </w:rPr>
        <w:t>年度财政拨款收、支总计均为</w:t>
      </w:r>
      <w:r>
        <w:rPr>
          <w:rFonts w:hint="eastAsia" w:ascii="仿宋" w:hAnsi="仿宋" w:eastAsia="仿宋"/>
          <w:sz w:val="32"/>
          <w:szCs w:val="32"/>
          <w:highlight w:val="none"/>
          <w:lang w:val="en-US" w:eastAsia="zh-CN"/>
        </w:rPr>
        <w:t>33880.06</w:t>
      </w:r>
      <w:r>
        <w:rPr>
          <w:rFonts w:hint="eastAsia" w:ascii="仿宋_GB2312" w:eastAsia="仿宋_GB2312"/>
          <w:sz w:val="32"/>
          <w:szCs w:val="32"/>
          <w:highlight w:val="none"/>
          <w:lang w:val="en-US" w:eastAsia="zh-CN"/>
        </w:rPr>
        <w:t>万元。</w:t>
      </w:r>
      <w:r>
        <w:rPr>
          <w:rFonts w:hint="eastAsia" w:ascii="仿宋_GB2312" w:hAnsi="仿宋_GB2312" w:eastAsia="仿宋_GB2312" w:cs="仿宋_GB2312"/>
          <w:sz w:val="32"/>
          <w:szCs w:val="32"/>
          <w:highlight w:val="none"/>
          <w:lang w:val="en-US" w:eastAsia="zh-CN"/>
        </w:rPr>
        <w:t>与上年度相比，财政拨款收、支总计各减少8344.94万元，下降19.76%，主要原因是：本年我单位业务活动减少，支出减少。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2024年度一般公共预算财政拨款支出25412.51万元，占支出合计的15.11%。与上年度相比，一般公共预算财政拨款支出减少16812.49万元，下降39.82%，主要原因是：本年我单位业务活动减少，支出减少。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支出25412.51万元，主要用于以下方面：社会保障和就业（类）支出1260.62万元，占4.96%;卫生健康（类）支出23531.53万元，占92.60%;农林水（类）支出461.00万元，占1.81%;住房保障（类）支出159.36万元，占0.63%。</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年度一般公共预算财政拨款支出年初预算为</w:t>
      </w:r>
      <w:r>
        <w:rPr>
          <w:rFonts w:hint="eastAsia" w:ascii="仿宋_GB2312" w:hAnsi="Times New Roman" w:eastAsia="仿宋_GB2312"/>
          <w:sz w:val="32"/>
          <w:szCs w:val="32"/>
          <w:highlight w:val="none"/>
          <w:lang w:val="en-US" w:eastAsia="zh-CN"/>
        </w:rPr>
        <w:t>21857.75</w:t>
      </w:r>
      <w:r>
        <w:rPr>
          <w:rFonts w:hint="eastAsia" w:ascii="仿宋_GB2312" w:hAnsi="仿宋_GB2312" w:eastAsia="仿宋_GB2312" w:cs="仿宋_GB2312"/>
          <w:sz w:val="32"/>
          <w:szCs w:val="32"/>
          <w:highlight w:val="none"/>
          <w:lang w:val="en-US" w:eastAsia="zh-CN"/>
        </w:rPr>
        <w:t>万元，支出决算为</w:t>
      </w:r>
      <w:r>
        <w:rPr>
          <w:rFonts w:hint="eastAsia" w:ascii="仿宋_GB2312" w:hAnsi="Times New Roman" w:eastAsia="仿宋_GB2312"/>
          <w:sz w:val="32"/>
          <w:szCs w:val="32"/>
          <w:highlight w:val="none"/>
          <w:lang w:val="en-US" w:eastAsia="zh-CN"/>
        </w:rPr>
        <w:t>25412.51</w:t>
      </w:r>
      <w:r>
        <w:rPr>
          <w:rFonts w:hint="eastAsia" w:ascii="仿宋_GB2312" w:hAnsi="仿宋_GB2312" w:eastAsia="仿宋_GB2312" w:cs="仿宋_GB2312"/>
          <w:sz w:val="32"/>
          <w:szCs w:val="32"/>
          <w:highlight w:val="none"/>
          <w:lang w:val="en-US" w:eastAsia="zh-CN"/>
        </w:rPr>
        <w:t>万元，完成年初预算的116.26%。其中：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社会保障和就业支出（类）行政事业单位养老支出（款）行政单位离退休（项）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18.41</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18.31</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，完成年初预算的99.46%</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404.56</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560.45</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，完成年初预算的138.53%</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24.84</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681.86</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，完成年初预算的2744.99%</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卫生健康支出（类）卫生健康管理事务（款）行政运行（项）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1210.77</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627.72</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，完成年初预算的51.84%</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本年我单位业务活动减少支出。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卫生健康支出（类）卫生健康管理事务（款）一般行政管理事务（项）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342.10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1734.09</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3243.03</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，完成年初预算的187.02%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卫生健康支出（类）公立医院（款）综合医院（项）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228.60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978.18</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，完成年初预算的427.90%</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卫生健康支出（类）公立医院（款）中医（民族）医院（项）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606.91</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，完成年初预算的2167.54%</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卫生健康支出（类）公立医院（款）其他公立医院支出（项）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4371.82</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2579.00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945.24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，完成年初预算的420.11%</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卫生健康支出（类）公共卫生（款）疾病预防控制机构（项）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990.00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1961.64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，完成年初预算的198.14%</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卫生健康支出（类）公共卫生（款）卫生监督机构（项）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450.40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334.08</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，完成年初预算的74.17%</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卫生健康支出（类）公共卫生（款）妇幼保健机构（项）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223.68</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卫生健康支出（类）公共卫生（款）基本公共卫生服务（项）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9018.34</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4621.24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，完成年初预算的51.24%</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卫生健康支出（类）公共卫生（款）重大公共卫生服务（项）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卫生健康支出（类）公共卫生（款）突发公共卫生事件应急处置（项）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90.41</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913.00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1764.64</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，完成年初预算的193.28%</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卫生健康支出（类）计划生育事务（款）计划生育服务（项）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1248.77</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240.02</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，完成年初预算的19.22%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本年我单位该项资金未清算。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卫生健康支出（类）计划生育事务（款）其他计划生育事务支出（项）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37.36</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11.07</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11.07</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95.51</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146.90</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，完成年初预算的153.81%</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2.31</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7.66</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，完成年初预算的331.52%</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卫生健康支出（类）其他卫生健康支出（款）其他卫生健康支出（项）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386.04</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461.00</w:t>
      </w:r>
      <w:r>
        <w:rPr>
          <w:rFonts w:hint="eastAsia" w:ascii="仿宋" w:hAnsi="仿宋" w:eastAsia="仿宋" w:cs="仿宋_GB2312"/>
          <w:sz w:val="32"/>
          <w:szCs w:val="32"/>
          <w:highlight w:val="none"/>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该项根据当年的分配资金情况和项目情况进行申请，不在年初预算内。</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_GB2312"/>
          <w:sz w:val="32"/>
          <w:szCs w:val="32"/>
          <w:highlight w:val="none"/>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highlight w:val="none"/>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133.24</w:t>
      </w:r>
      <w:r>
        <w:rPr>
          <w:rFonts w:hint="eastAsia" w:ascii="仿宋" w:hAnsi="仿宋" w:eastAsia="仿宋" w:cs="仿宋_GB2312"/>
          <w:sz w:val="32"/>
          <w:szCs w:val="32"/>
          <w:highlight w:val="none"/>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159.36</w:t>
      </w:r>
      <w:r>
        <w:rPr>
          <w:rFonts w:hint="eastAsia" w:ascii="仿宋" w:hAnsi="仿宋" w:eastAsia="仿宋" w:cs="仿宋_GB2312"/>
          <w:sz w:val="32"/>
          <w:szCs w:val="32"/>
          <w:highlight w:val="none"/>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，完成年初预算的119.61%</w:t>
      </w:r>
      <w:r>
        <w:rPr>
          <w:rFonts w:hint="eastAsia" w:ascii="仿宋" w:hAnsi="仿宋" w:eastAsia="仿宋" w:cs="仿宋_GB2312"/>
          <w:sz w:val="32"/>
          <w:szCs w:val="32"/>
          <w:highlight w:val="none"/>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highlight w:val="none"/>
          <w:lang w:val="en-US" w:eastAsia="zh-CN"/>
        </w:rPr>
        <w:t>根据年中工作开展情况，调整类款项。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年度一般公共预算财政拨款基本支出</w:t>
      </w:r>
      <w:r>
        <w:rPr>
          <w:rFonts w:hint="eastAsia" w:ascii="仿宋_GB2312" w:hAnsi="Times New Roman" w:eastAsia="仿宋_GB2312"/>
          <w:sz w:val="32"/>
          <w:szCs w:val="32"/>
          <w:highlight w:val="none"/>
          <w:lang w:val="en-US" w:eastAsia="zh-CN"/>
        </w:rPr>
        <w:t>22585.64</w:t>
      </w:r>
      <w:r>
        <w:rPr>
          <w:rFonts w:hint="eastAsia" w:ascii="仿宋_GB2312" w:hAnsi="仿宋_GB2312" w:eastAsia="仿宋_GB2312" w:cs="仿宋_GB2312"/>
          <w:sz w:val="32"/>
          <w:szCs w:val="32"/>
          <w:highlight w:val="none"/>
          <w:lang w:val="en-US" w:eastAsia="zh-CN"/>
        </w:rPr>
        <w:t>万元。其中：人员经费</w:t>
      </w:r>
      <w:r>
        <w:rPr>
          <w:rFonts w:hint="eastAsia" w:ascii="仿宋_GB2312" w:hAnsi="Times New Roman" w:eastAsia="仿宋_GB2312"/>
          <w:sz w:val="32"/>
          <w:szCs w:val="32"/>
          <w:highlight w:val="none"/>
          <w:lang w:val="en-US" w:eastAsia="zh-CN"/>
        </w:rPr>
        <w:t>6721.17</w:t>
      </w:r>
      <w:r>
        <w:rPr>
          <w:rFonts w:hint="eastAsia" w:ascii="仿宋_GB2312" w:hAnsi="仿宋_GB2312" w:eastAsia="仿宋_GB2312" w:cs="仿宋_GB2312"/>
          <w:sz w:val="32"/>
          <w:szCs w:val="32"/>
          <w:highlight w:val="none"/>
          <w:lang w:val="en-US" w:eastAsia="zh-CN"/>
        </w:rPr>
        <w:t>万元，主要包括：基本工资、津贴补贴、奖金、绩效工资、机关事业单位基本养老保险缴费、职业年金缴费、职工基本医疗保险缴费、其他社会保障缴费、住房公积金、离休费、生活补助、代缴社会保险费、其他对个人和家庭的补助支出；公用经费</w:t>
      </w:r>
      <w:r>
        <w:rPr>
          <w:rFonts w:hint="eastAsia" w:ascii="仿宋_GB2312" w:hAnsi="Times New Roman" w:eastAsia="仿宋_GB2312"/>
          <w:sz w:val="32"/>
          <w:szCs w:val="32"/>
          <w:highlight w:val="none"/>
          <w:lang w:val="en-US" w:eastAsia="zh-CN"/>
        </w:rPr>
        <w:t>15864.47</w:t>
      </w:r>
      <w:r>
        <w:rPr>
          <w:rFonts w:hint="eastAsia" w:ascii="仿宋_GB2312" w:hAnsi="仿宋_GB2312" w:eastAsia="仿宋_GB2312" w:cs="仿宋_GB2312"/>
          <w:sz w:val="32"/>
          <w:szCs w:val="32"/>
          <w:highlight w:val="none"/>
          <w:lang w:val="en-US" w:eastAsia="zh-CN"/>
        </w:rPr>
        <w:t>万元，主要包括：办公费、印刷费、水费、电费、邮电费、物业管理费、差旅费、维修（护）费、专用材料费、劳务费、委托业务费、福利费、其他交通费用、其他商品和服务支出、国内债务付息、专用设备购置、其他资本性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2024年度政府性基金预算财政拨款支出年初预算为0.00万元，支出决算为0万元，完成年初预算的100.00%。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年度一般公共预算财政拨款“三公”经费支出预算为</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万元，支出决算为</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万元，完成年初预算的0.00%。</w:t>
      </w:r>
      <w:r>
        <w:rPr>
          <w:rFonts w:hint="eastAsia" w:ascii="仿宋" w:hAnsi="仿宋" w:eastAsia="仿宋" w:cs="Times New Roman"/>
          <w:sz w:val="32"/>
          <w:szCs w:val="32"/>
          <w:highlight w:val="none"/>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2024</w:t>
      </w:r>
      <w:r>
        <w:rPr>
          <w:rFonts w:hint="eastAsia" w:ascii="仿宋_GB2312" w:hAnsi="仿宋_GB2312" w:eastAsia="仿宋_GB2312" w:cs="仿宋_GB2312"/>
          <w:sz w:val="32"/>
          <w:szCs w:val="32"/>
          <w:highlight w:val="none"/>
          <w:lang w:val="en-US" w:eastAsia="zh-CN"/>
        </w:rPr>
        <w:t>年度一般公共预算财政拨款“三公”经费支出决算中，因公出国（境）费支出决算</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万元，占0.00%；公务用车购置及运行费支出决算</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万元，占0.00%；公务接待费支出决算</w:t>
      </w:r>
      <w:r>
        <w:rPr>
          <w:rFonts w:hint="eastAsia" w:ascii="仿宋_GB2312" w:hAnsi="Times New Roman" w:eastAsia="仿宋_GB2312"/>
          <w:sz w:val="32"/>
          <w:szCs w:val="32"/>
          <w:highlight w:val="none"/>
          <w:lang w:val="en-US" w:eastAsia="zh-CN"/>
        </w:rPr>
        <w:t>0.00</w:t>
      </w:r>
      <w:r>
        <w:rPr>
          <w:rFonts w:hint="eastAsia" w:ascii="仿宋_GB2312" w:hAnsi="仿宋_GB2312" w:eastAsia="仿宋_GB2312" w:cs="仿宋_GB2312"/>
          <w:sz w:val="32"/>
          <w:szCs w:val="32"/>
          <w:highlight w:val="none"/>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1．因公出国（境）费</w:t>
      </w:r>
      <w:r>
        <w:rPr>
          <w:rFonts w:hint="eastAsia" w:ascii="仿宋_GB2312" w:hAnsi="仿宋_GB2312" w:eastAsia="仿宋_GB2312" w:cs="仿宋_GB2312"/>
          <w:sz w:val="32"/>
          <w:szCs w:val="32"/>
          <w:highlight w:val="none"/>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2．公务用车购置及运行费</w:t>
      </w:r>
      <w:r>
        <w:rPr>
          <w:rFonts w:hint="eastAsia" w:ascii="仿宋_GB2312" w:hAnsi="仿宋_GB2312" w:eastAsia="仿宋_GB2312" w:cs="仿宋_GB2312"/>
          <w:sz w:val="32"/>
          <w:szCs w:val="32"/>
          <w:highlight w:val="none"/>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公务用车购置支出</w:t>
      </w:r>
      <w:r>
        <w:rPr>
          <w:rFonts w:hint="eastAsia" w:ascii="仿宋_GB2312" w:hAnsi="仿宋_GB2312" w:eastAsia="仿宋_GB2312" w:cs="仿宋_GB2312"/>
          <w:sz w:val="32"/>
          <w:szCs w:val="32"/>
          <w:highlight w:val="none"/>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公务用车运行维护支出</w:t>
      </w:r>
      <w:r>
        <w:rPr>
          <w:rFonts w:hint="eastAsia" w:ascii="仿宋_GB2312" w:hAnsi="仿宋_GB2312" w:eastAsia="仿宋_GB2312" w:cs="仿宋_GB2312"/>
          <w:sz w:val="32"/>
          <w:szCs w:val="32"/>
          <w:highlight w:val="none"/>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3.公务接待费</w:t>
      </w:r>
      <w:r>
        <w:rPr>
          <w:rFonts w:hint="eastAsia" w:ascii="仿宋_GB2312" w:hAnsi="仿宋_GB2312" w:eastAsia="仿宋_GB2312" w:cs="仿宋_GB2312"/>
          <w:sz w:val="32"/>
          <w:szCs w:val="32"/>
          <w:highlight w:val="none"/>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外宾接待支出</w:t>
      </w:r>
      <w:r>
        <w:rPr>
          <w:rFonts w:hint="eastAsia" w:ascii="仿宋_GB2312" w:hAnsi="仿宋_GB2312" w:eastAsia="仿宋_GB2312" w:cs="仿宋_GB2312"/>
          <w:sz w:val="32"/>
          <w:szCs w:val="32"/>
          <w:highlight w:val="none"/>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其他国内公务接待支出</w:t>
      </w:r>
      <w:r>
        <w:rPr>
          <w:rFonts w:hint="eastAsia" w:ascii="仿宋_GB2312" w:hAnsi="仿宋_GB2312" w:eastAsia="仿宋_GB2312" w:cs="仿宋_GB2312"/>
          <w:sz w:val="32"/>
          <w:szCs w:val="32"/>
          <w:highlight w:val="none"/>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highlight w:val="none"/>
          <w:lang w:val="en-US" w:eastAsia="zh-CN" w:bidi="ar-SA"/>
        </w:rPr>
      </w:pPr>
      <w:r>
        <w:rPr>
          <w:rFonts w:hint="eastAsia" w:ascii="仿宋" w:hAnsi="仿宋" w:eastAsia="仿宋" w:cs="仿宋"/>
          <w:snapToGrid/>
          <w:color w:val="000000"/>
          <w:kern w:val="2"/>
          <w:sz w:val="32"/>
          <w:szCs w:val="32"/>
          <w:highlight w:val="none"/>
          <w:lang w:val="en-US" w:eastAsia="zh-CN" w:bidi="ar-SA"/>
        </w:rPr>
        <w:t>2024年度机关运行经费支出1486.70万元，比2023年增加206.58万元，增长16.14%。主要原因是：</w:t>
      </w:r>
      <w:r>
        <w:rPr>
          <w:rFonts w:hint="eastAsia" w:ascii="仿宋" w:hAnsi="仿宋" w:eastAsia="仿宋" w:cs="仿宋_GB2312"/>
          <w:sz w:val="32"/>
          <w:szCs w:val="32"/>
          <w:highlight w:val="none"/>
          <w:lang w:val="en-US" w:eastAsia="zh-CN"/>
        </w:rPr>
        <w:t>之前年度指标于本年支出</w:t>
      </w:r>
      <w:r>
        <w:rPr>
          <w:rFonts w:hint="eastAsia" w:ascii="仿宋" w:hAnsi="仿宋" w:eastAsia="仿宋" w:cs="仿宋"/>
          <w:snapToGrid/>
          <w:color w:val="000000"/>
          <w:kern w:val="2"/>
          <w:sz w:val="32"/>
          <w:szCs w:val="32"/>
          <w:highlight w:val="none"/>
          <w:lang w:val="en-US" w:eastAsia="zh-CN" w:bidi="ar-SA"/>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hAnsi="Times New Roman" w:eastAsia="仿宋_GB2312" w:cs="Times New Roman"/>
          <w:sz w:val="32"/>
          <w:szCs w:val="32"/>
          <w:highlight w:val="none"/>
          <w:lang w:val="en-US" w:eastAsia="zh-CN"/>
        </w:rPr>
        <w:t>2024</w:t>
      </w:r>
      <w:r>
        <w:rPr>
          <w:rFonts w:hint="eastAsia" w:ascii="仿宋_GB2312" w:hAnsi="Times New Roman" w:eastAsia="仿宋_GB2312" w:cs="Times New Roman"/>
          <w:sz w:val="32"/>
          <w:szCs w:val="32"/>
          <w:highlight w:val="none"/>
          <w:lang w:val="en-US" w:eastAsia="zh-CN"/>
        </w:rPr>
        <w:t>年度政府采购支出总额6579.90万元，其中：政府采购货物支出12.34万元、政府采购工程支出6567.55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highlight w:val="none"/>
          <w:lang w:val="en-US" w:eastAsia="zh-CN"/>
        </w:rPr>
        <w:t>企业合同金额</w:t>
      </w:r>
      <w:r>
        <w:rPr>
          <w:rFonts w:hint="eastAsia" w:ascii="仿宋_GB2312" w:hAnsi="Times New Roman" w:eastAsia="仿宋_GB2312" w:cs="Times New Roman"/>
          <w:sz w:val="32"/>
          <w:szCs w:val="32"/>
          <w:highlight w:val="none"/>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highlight w:val="none"/>
          <w:lang w:val="en-US" w:eastAsia="zh-CN"/>
        </w:rPr>
      </w:pPr>
      <w:r>
        <w:rPr>
          <w:rFonts w:ascii="仿宋_GB2312" w:eastAsia="仿宋_GB2312"/>
          <w:sz w:val="32"/>
          <w:szCs w:val="32"/>
          <w:highlight w:val="none"/>
          <w:lang w:val="en-US" w:eastAsia="zh-CN"/>
        </w:rPr>
        <w:t>2</w:t>
      </w:r>
      <w:r>
        <w:rPr>
          <w:rFonts w:hint="eastAsia" w:ascii="仿宋_GB2312" w:hAnsi="Times New Roman" w:eastAsia="仿宋_GB2312" w:cs="Times New Roman"/>
          <w:sz w:val="32"/>
          <w:szCs w:val="32"/>
          <w:highlight w:val="none"/>
          <w:lang w:val="en-US" w:eastAsia="zh-CN"/>
        </w:rPr>
        <w:t>024年期末，我部门共有车辆72辆，其中：省级领导干部用车0辆、主要领导干部用车0辆、机要通信用车0辆、应急保障车1辆、执法执勤用车0辆、特种专业技术用车50辆、离退休干部用车0辆、其他用车21辆；单位价值100万元（含）以上设备0台（套）</w:t>
      </w:r>
      <w:r>
        <w:rPr>
          <w:rFonts w:hint="eastAsia" w:ascii="仿宋_GB2312" w:hAnsi="仿宋_GB2312" w:eastAsia="仿宋_GB2312" w:cs="仿宋_GB2312"/>
          <w:sz w:val="32"/>
          <w:szCs w:val="32"/>
          <w:highlight w:val="none"/>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highlight w:val="none"/>
          <w:lang w:val="en-US" w:eastAsia="zh-CN"/>
        </w:rPr>
      </w:pPr>
      <w:r>
        <w:rPr>
          <w:rFonts w:hint="eastAsia" w:ascii="黑体" w:hAnsi="黑体" w:eastAsia="黑体" w:cs="黑体"/>
          <w:kern w:val="0"/>
          <w:sz w:val="32"/>
          <w:szCs w:val="32"/>
          <w:highlight w:val="none"/>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highlight w:val="none"/>
          <w:lang w:val="en-US" w:eastAsia="zh-CN"/>
        </w:rPr>
      </w:pPr>
      <w:r>
        <w:rPr>
          <w:rFonts w:hint="eastAsia" w:ascii="仿宋" w:hAnsi="仿宋" w:eastAsia="仿宋" w:cs="仿宋"/>
          <w:kern w:val="2"/>
          <w:sz w:val="32"/>
          <w:szCs w:val="32"/>
          <w:highlight w:val="none"/>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68</w:t>
      </w:r>
      <w:r>
        <w:rPr>
          <w:rFonts w:hint="eastAsia" w:ascii="仿宋" w:hAnsi="仿宋" w:eastAsia="仿宋" w:cs="仿宋"/>
          <w:kern w:val="2"/>
          <w:sz w:val="32"/>
          <w:szCs w:val="32"/>
          <w:highlight w:val="none"/>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68</w:t>
      </w:r>
      <w:r>
        <w:rPr>
          <w:rFonts w:hint="eastAsia" w:ascii="仿宋" w:hAnsi="仿宋" w:eastAsia="仿宋" w:cs="仿宋"/>
          <w:kern w:val="2"/>
          <w:sz w:val="32"/>
          <w:szCs w:val="32"/>
          <w:highlight w:val="none"/>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37295.31</w:t>
      </w:r>
      <w:r>
        <w:rPr>
          <w:rFonts w:hint="eastAsia" w:ascii="仿宋" w:hAnsi="仿宋" w:eastAsia="仿宋" w:cs="仿宋"/>
          <w:kern w:val="2"/>
          <w:sz w:val="32"/>
          <w:szCs w:val="32"/>
          <w:highlight w:val="none"/>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我部门对2024年度</w:t>
      </w:r>
      <w:r>
        <w:rPr>
          <w:rFonts w:hint="eastAsia" w:ascii="仿宋_GB2312" w:hAnsi="仿宋_GB2312" w:eastAsia="仿宋_GB2312" w:cs="仿宋_GB2312"/>
          <w:sz w:val="32"/>
          <w:szCs w:val="32"/>
          <w:highlight w:val="none"/>
          <w:lang w:val="en-US" w:eastAsia="zh-CN"/>
        </w:rPr>
        <w:t>68</w:t>
      </w:r>
      <w:r>
        <w:rPr>
          <w:rFonts w:hint="eastAsia" w:ascii="仿宋" w:hAnsi="仿宋" w:eastAsia="仿宋" w:cs="仿宋"/>
          <w:kern w:val="2"/>
          <w:sz w:val="32"/>
          <w:szCs w:val="32"/>
          <w:highlight w:val="none"/>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91.78</w:t>
      </w:r>
      <w:r>
        <w:rPr>
          <w:rFonts w:hint="eastAsia" w:ascii="仿宋" w:hAnsi="仿宋" w:eastAsia="仿宋" w:cs="仿宋"/>
          <w:kern w:val="2"/>
          <w:sz w:val="32"/>
          <w:szCs w:val="32"/>
          <w:highlight w:val="none"/>
          <w:lang w:val="en-US" w:eastAsia="zh-CN"/>
        </w:rPr>
        <w:t>分。其中：自评结果</w:t>
      </w:r>
      <w:r>
        <w:rPr>
          <w:rFonts w:hint="eastAsia" w:ascii="仿宋_GB2312" w:hAnsi="仿宋_GB2312" w:eastAsia="仿宋_GB2312" w:cs="仿宋_GB2312"/>
          <w:sz w:val="32"/>
          <w:szCs w:val="32"/>
          <w:highlight w:val="none"/>
          <w:lang w:val="en-US" w:eastAsia="zh-CN"/>
        </w:rPr>
        <w:t>44</w:t>
      </w:r>
      <w:r>
        <w:rPr>
          <w:rFonts w:hint="eastAsia" w:ascii="仿宋" w:hAnsi="仿宋" w:eastAsia="仿宋" w:cs="仿宋"/>
          <w:kern w:val="2"/>
          <w:sz w:val="32"/>
          <w:szCs w:val="32"/>
          <w:highlight w:val="none"/>
          <w:lang w:val="en-US" w:eastAsia="zh-CN"/>
        </w:rPr>
        <w:t>个为优，</w:t>
      </w:r>
      <w:r>
        <w:rPr>
          <w:rFonts w:hint="eastAsia" w:ascii="仿宋_GB2312" w:hAnsi="仿宋_GB2312" w:eastAsia="仿宋_GB2312" w:cs="仿宋_GB2312"/>
          <w:sz w:val="32"/>
          <w:szCs w:val="32"/>
          <w:highlight w:val="none"/>
          <w:lang w:val="en-US" w:eastAsia="zh-CN"/>
        </w:rPr>
        <w:t>23</w:t>
      </w:r>
      <w:r>
        <w:rPr>
          <w:rFonts w:hint="eastAsia" w:ascii="仿宋" w:hAnsi="仿宋" w:eastAsia="仿宋" w:cs="仿宋"/>
          <w:kern w:val="2"/>
          <w:sz w:val="32"/>
          <w:szCs w:val="32"/>
          <w:highlight w:val="none"/>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highlight w:val="none"/>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highlight w:val="none"/>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70"/>
        <w:gridCol w:w="705"/>
        <w:gridCol w:w="757"/>
        <w:gridCol w:w="818"/>
        <w:gridCol w:w="500"/>
        <w:gridCol w:w="1075"/>
        <w:gridCol w:w="1574"/>
        <w:gridCol w:w="6"/>
        <w:gridCol w:w="1569"/>
        <w:gridCol w:w="1575"/>
        <w:gridCol w:w="871"/>
        <w:gridCol w:w="704"/>
        <w:gridCol w:w="472"/>
        <w:gridCol w:w="1102"/>
        <w:gridCol w:w="52"/>
        <w:gridCol w:w="15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项目支出绩效自评情况表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项目名称</w:t>
            </w:r>
          </w:p>
        </w:tc>
        <w:tc>
          <w:tcPr>
            <w:tcW w:w="3712"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2024年公共卫生事业经费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87"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主管部门</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郸城县卫生健康委员会</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实施单位</w:t>
            </w:r>
          </w:p>
        </w:tc>
        <w:tc>
          <w:tcPr>
            <w:tcW w:w="136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郸城县卫生健康委员会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项目资金(万元)</w:t>
            </w:r>
          </w:p>
        </w:tc>
        <w:tc>
          <w:tcPr>
            <w:tcW w:w="5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年初预算数</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全年预算数</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全年执行数</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执行率</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Style w:val="22"/>
                <w:sz w:val="18"/>
                <w:szCs w:val="18"/>
                <w:highlight w:val="none"/>
                <w:lang w:val="en-US" w:eastAsia="zh-CN" w:bidi="ar"/>
              </w:rPr>
              <w:t>年度资金总额：</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财政拨款</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4,300.00</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财政专户管理资金</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1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单位资金</w:t>
            </w:r>
          </w:p>
        </w:tc>
        <w:tc>
          <w:tcPr>
            <w:tcW w:w="46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93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141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资金管理情况</w:t>
            </w:r>
          </w:p>
        </w:tc>
        <w:tc>
          <w:tcPr>
            <w:tcW w:w="980" w:type="pct"/>
            <w:gridSpan w:val="4"/>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23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情况说明</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分值（20）</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538"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80"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安排科学性</w:t>
            </w:r>
          </w:p>
        </w:tc>
        <w:tc>
          <w:tcPr>
            <w:tcW w:w="23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预算额度按照标准编制，预算确定的项目资金量与工作任务相匹配。预算安排科学合理。</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38"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80"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拨付合规性</w:t>
            </w:r>
          </w:p>
        </w:tc>
        <w:tc>
          <w:tcPr>
            <w:tcW w:w="23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本项目的资金拨付有完整的审批程序和手续，未出现审批程序和手续不合规的情况。</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38"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80"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使用规范性</w:t>
            </w:r>
          </w:p>
        </w:tc>
        <w:tc>
          <w:tcPr>
            <w:tcW w:w="23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本项目的资金使用符合国家财经法规和财务管理制度以及有关专项资金管理办法的规定，符合项目预算批复或合同规定的用途，不存在截留、挤占、挪用、虚列支出等情况。</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38"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980" w:type="pct"/>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预算绩效管理情况</w:t>
            </w:r>
          </w:p>
        </w:tc>
        <w:tc>
          <w:tcPr>
            <w:tcW w:w="23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本项目的资金已全部纳入预算绩效管理系统，完成了绩效目标设置，绩效监控，绩效自评价等预算绩效管理流程。</w:t>
            </w:r>
          </w:p>
        </w:tc>
        <w:tc>
          <w:tcPr>
            <w:tcW w:w="41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40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38" w:type="pct"/>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3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年度总体目标</w:t>
            </w:r>
          </w:p>
        </w:tc>
        <w:tc>
          <w:tcPr>
            <w:tcW w:w="191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预期目标</w:t>
            </w:r>
          </w:p>
        </w:tc>
        <w:tc>
          <w:tcPr>
            <w:tcW w:w="277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trPr>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914" w:type="pct"/>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2024年公共卫生事业经费，提高公共卫生服务水平</w:t>
            </w:r>
          </w:p>
        </w:tc>
        <w:tc>
          <w:tcPr>
            <w:tcW w:w="2778" w:type="pct"/>
            <w:gridSpan w:val="9"/>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完成目标任务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5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实际值完成值</w:t>
            </w:r>
          </w:p>
        </w:tc>
        <w:tc>
          <w:tcPr>
            <w:tcW w:w="5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偏差度</w:t>
            </w:r>
          </w:p>
        </w:tc>
        <w:tc>
          <w:tcPr>
            <w:tcW w:w="55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成本指标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经济成本指标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总成本</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≤4300万元</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4300</w:t>
            </w:r>
            <w:r>
              <w:rPr>
                <w:rFonts w:hint="eastAsia" w:ascii="宋体" w:hAnsi="宋体" w:eastAsia="宋体" w:cs="宋体"/>
                <w:i w:val="0"/>
                <w:iCs w:val="0"/>
                <w:color w:val="000000"/>
                <w:kern w:val="0"/>
                <w:sz w:val="18"/>
                <w:szCs w:val="18"/>
                <w:highlight w:val="none"/>
                <w:u w:val="none"/>
                <w:lang w:val="en-US" w:eastAsia="zh-CN" w:bidi="ar"/>
              </w:rPr>
              <w:t>万元</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lang w:val="en-US" w:eastAsia="zh-CN"/>
              </w:rPr>
              <w:t>20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数量指标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服务人数</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default" w:ascii="宋体" w:hAnsi="宋体" w:eastAsia="宋体" w:cs="宋体"/>
                <w:i w:val="0"/>
                <w:iCs w:val="0"/>
                <w:color w:val="000000"/>
                <w:sz w:val="18"/>
                <w:szCs w:val="18"/>
                <w:highlight w:val="none"/>
                <w:u w:val="none"/>
                <w:lang w:val="en-US"/>
              </w:rPr>
              <w:t>≥90万人</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default" w:ascii="宋体" w:hAnsi="宋体" w:eastAsia="宋体" w:cs="宋体"/>
                <w:i w:val="0"/>
                <w:iCs w:val="0"/>
                <w:color w:val="000000"/>
                <w:sz w:val="18"/>
                <w:szCs w:val="18"/>
                <w:highlight w:val="none"/>
                <w:u w:val="none"/>
                <w:lang w:val="en-US"/>
              </w:rPr>
              <w:t>9</w:t>
            </w:r>
            <w:r>
              <w:rPr>
                <w:rFonts w:hint="eastAsia" w:ascii="宋体" w:hAnsi="宋体" w:eastAsia="宋体" w:cs="宋体"/>
                <w:i w:val="0"/>
                <w:iCs w:val="0"/>
                <w:color w:val="000000"/>
                <w:sz w:val="18"/>
                <w:szCs w:val="18"/>
                <w:highlight w:val="none"/>
                <w:u w:val="none"/>
                <w:lang w:val="en-US" w:eastAsia="zh-CN"/>
              </w:rPr>
              <w:t>3</w:t>
            </w:r>
            <w:r>
              <w:rPr>
                <w:rFonts w:hint="default" w:ascii="宋体" w:hAnsi="宋体" w:eastAsia="宋体" w:cs="宋体"/>
                <w:i w:val="0"/>
                <w:iCs w:val="0"/>
                <w:color w:val="000000"/>
                <w:sz w:val="18"/>
                <w:szCs w:val="18"/>
                <w:highlight w:val="none"/>
                <w:u w:val="none"/>
                <w:lang w:val="en-US"/>
              </w:rPr>
              <w:t>万人</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质量指标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公共卫生服务考核验收合格率</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15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时效指标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项目完成时间</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2024年12月31日前</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效益指标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社会效益指标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提高公共卫生服务水平</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提高</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服务对象满意度指标</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群众满意度</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2777"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总分</w:t>
            </w:r>
          </w:p>
        </w:tc>
        <w:tc>
          <w:tcPr>
            <w:tcW w:w="5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100</w:t>
            </w:r>
          </w:p>
        </w:tc>
        <w:tc>
          <w:tcPr>
            <w:tcW w:w="55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55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b/>
          <w:bCs/>
          <w:sz w:val="32"/>
          <w:szCs w:val="32"/>
          <w:highlight w:val="none"/>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我部门对</w:t>
      </w:r>
      <w:r>
        <w:rPr>
          <w:rFonts w:hint="default" w:ascii="仿宋" w:hAnsi="仿宋" w:eastAsia="仿宋" w:cs="仿宋"/>
          <w:kern w:val="2"/>
          <w:sz w:val="32"/>
          <w:szCs w:val="32"/>
          <w:highlight w:val="none"/>
          <w:lang w:val="en-US" w:eastAsia="zh-CN"/>
        </w:rPr>
        <w:t>202</w:t>
      </w:r>
      <w:r>
        <w:rPr>
          <w:rFonts w:hint="eastAsia" w:ascii="仿宋" w:hAnsi="仿宋" w:eastAsia="仿宋" w:cs="仿宋"/>
          <w:kern w:val="2"/>
          <w:sz w:val="32"/>
          <w:szCs w:val="32"/>
          <w:highlight w:val="none"/>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95.79</w:t>
      </w:r>
      <w:r>
        <w:rPr>
          <w:rFonts w:hint="eastAsia" w:ascii="仿宋" w:hAnsi="仿宋" w:eastAsia="仿宋" w:cs="仿宋"/>
          <w:kern w:val="2"/>
          <w:sz w:val="32"/>
          <w:szCs w:val="32"/>
          <w:highlight w:val="none"/>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highlight w:val="none"/>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4"/>
        <w:gridCol w:w="1378"/>
        <w:gridCol w:w="1868"/>
        <w:gridCol w:w="1545"/>
        <w:gridCol w:w="1553"/>
        <w:gridCol w:w="2030"/>
        <w:gridCol w:w="734"/>
        <w:gridCol w:w="887"/>
        <w:gridCol w:w="1023"/>
        <w:gridCol w:w="1021"/>
        <w:gridCol w:w="7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626"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部门（单位）名称</w:t>
            </w:r>
          </w:p>
        </w:tc>
        <w:tc>
          <w:tcPr>
            <w:tcW w:w="337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郸城县卫生健康委员会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部门整体支出情况(万元)</w:t>
            </w:r>
          </w:p>
        </w:tc>
        <w:tc>
          <w:tcPr>
            <w:tcW w:w="114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年初预算数</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全年预算数</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全年执行数</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执行率</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部门预算总额</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ascii="宋体" w:hAnsi="宋体" w:eastAsia="宋体" w:cs="宋体"/>
                <w:i w:val="0"/>
                <w:iCs w:val="0"/>
                <w:snapToGrid w:val="0"/>
                <w:color w:val="000000"/>
                <w:kern w:val="0"/>
                <w:sz w:val="18"/>
                <w:szCs w:val="18"/>
                <w:highlight w:val="none"/>
                <w:u w:val="none"/>
                <w:lang w:val="en-US" w:eastAsia="zh-CN" w:bidi="ar"/>
              </w:rPr>
              <w:t>17078.46</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14746.76</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14746.76</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52.14%</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资金来源：（1）财政拨款</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ascii="宋体" w:hAnsi="宋体" w:eastAsia="宋体" w:cs="宋体"/>
                <w:i w:val="0"/>
                <w:iCs w:val="0"/>
                <w:snapToGrid w:val="0"/>
                <w:color w:val="000000"/>
                <w:kern w:val="0"/>
                <w:sz w:val="18"/>
                <w:szCs w:val="18"/>
                <w:highlight w:val="none"/>
                <w:u w:val="none"/>
                <w:lang w:val="en-US" w:eastAsia="zh-CN" w:bidi="ar"/>
              </w:rPr>
              <w:t>17078.46</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14746.76</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14746.76</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52.14%</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（2）财政专户管理资金</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11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（3）单位资金</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w:t>
            </w:r>
          </w:p>
        </w:tc>
        <w:tc>
          <w:tcPr>
            <w:tcW w:w="5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w:t>
            </w:r>
          </w:p>
        </w:tc>
        <w:tc>
          <w:tcPr>
            <w:tcW w:w="67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c>
          <w:tcPr>
            <w:tcW w:w="3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51.93%</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年度履职目标</w:t>
            </w:r>
          </w:p>
        </w:tc>
        <w:tc>
          <w:tcPr>
            <w:tcW w:w="223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预期目标</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2238" w:type="pct"/>
            <w:gridSpan w:val="4"/>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加强疫情防控工作，保障新冠疫情及早发现，精准管控，快速处置，阻断传播链条，完成各项目标任务。注重全县卫生健康工作,统筹推进全县卫生健康服务均等化、普惠化、便捷化和公共资源向基层延伸等政策措施。统一全县县级药品目录，推进上下级用药衔接，药事服务作和药品质量安全水平显著提升。深入推进医共体建设。</w:t>
            </w:r>
          </w:p>
        </w:tc>
        <w:tc>
          <w:tcPr>
            <w:tcW w:w="2279" w:type="pct"/>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注重全县卫生健康工作,统筹推进全县卫生健康服务均等化、普惠化、便捷化和公共资源向基层延伸等政策措施。统一全县县级药品目录，推进上下级用药衔接，药事服务作和药品质量安全水平显著提升。深入推进医共体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任务名称</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主要内容</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加强疫情防控工作，保障新冠疫情及早发现，精准管控，快速处置，阻断传播链条，完成各项目标任务。</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加强疫情防控工作，保障新冠疫情及早发现，精准管控，快速处置，阻断传播链条，完成各项目标任务。</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精准管控，快速处置，阻断传播链条，完成了各项目标任务。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实施基本公共卫生服务，逐步建立基本公共卫生服务体系和均等化的长效机制。</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通过实施基本公共卫生服务，逐步建立基本公共卫生服务体系和均等化的长效机制，建立较为完善的城乡公共卫生服务体系，基本公共卫生服务项目在全县所有城乡居民中得到普及，并随着经济社会的发展和医药卫生体制改革的深化，逐步增加服务项目和内容。</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逐步建立了基本公共卫生服务体系和均等化的长效机制，建立了较为完善的城乡公共卫生体系。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开展国家基本药物制度工作，统一全县县级药品目录，推进上下级用药衔接。</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认真开展国家基本药物制度工作，统一全县县级药品目录，推进上下级用药衔接，探索开展医共体共享中心药房，加强短缺药品监测预警和高值耗材管理，推进药师队伍建设，进一步规范了基本诊疗路径、合理用药、处方点评等工作，基本药品临床应用，药事服务作和药品质量安全水平显著提升。</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贯彻落实国家药物政策和国家基本药物制度,组织制定全县药物使用的相关政策措施；开展药品使用监测、临床综合评价和短缺药品预警；提出我县基本药物价格政策的建议；组织开展食品安全风险监测评估。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深入推进医共体建设。</w:t>
            </w:r>
          </w:p>
        </w:tc>
        <w:tc>
          <w:tcPr>
            <w:tcW w:w="175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持续深化深化医改和医疗服务水平提升的践行者，强化分级诊疗制度落实，严格医保资金管理，强化控费力度，提高基金使用效率，有力有效担当健康医疗保障的主力军。</w:t>
            </w:r>
          </w:p>
        </w:tc>
        <w:tc>
          <w:tcPr>
            <w:tcW w:w="227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深化医改和医疗服务水平提升的践行者，强化分级诊疗制度落实，严格医保资金管理。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4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实际完成值</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得分</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偏差度</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投入管理指标</w:t>
            </w:r>
          </w:p>
        </w:tc>
        <w:tc>
          <w:tcPr>
            <w:tcW w:w="4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工作目标管理</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年度履职目标相关性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相关</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工作任务科学性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科学</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绩效指标合理性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合理</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预算和财务管理</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预算编制完整性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完整</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专项资金细化率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预算调整率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结转结余率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“三公经费”控制率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政府采购执行率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决算真实性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真实</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资金使用合规性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合规</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管理制度健全性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健全</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公开</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资产管理规范性</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规范</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绩效管理</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绩效目标编制完成率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绩效监控完成率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绩效自评完成率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部门绩效评价完成率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评价结果应用率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4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重点工作任务完成</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年度任务1</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年度任务2</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年度任务3</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年度任务4</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履职目标实现</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年度履职实现率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效益指标</w:t>
            </w:r>
          </w:p>
        </w:tc>
        <w:tc>
          <w:tcPr>
            <w:tcW w:w="486" w:type="pct"/>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履职效益</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药事服务作和药品质量安全水平显著提升</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提升</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486" w:type="pct"/>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提升群众健康素养</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提升</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486" w:type="pct"/>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提升医疗服务能力</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提升</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100%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4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社会公众满意度</w:t>
            </w:r>
          </w:p>
        </w:tc>
        <w:tc>
          <w:tcPr>
            <w:tcW w:w="10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7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0.00</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43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总分</w:t>
            </w:r>
          </w:p>
        </w:tc>
        <w:tc>
          <w:tcPr>
            <w:tcW w:w="2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3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95.79</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highlight w:val="none"/>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highlight w:val="none"/>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highlight w:val="none"/>
          <w:lang w:val="en-US" w:eastAsia="zh-CN"/>
        </w:rPr>
      </w:pPr>
      <w:r>
        <w:rPr>
          <w:rFonts w:hint="eastAsia" w:ascii="楷体_GB2312" w:hAnsi="Times New Roman" w:eastAsia="楷体_GB2312" w:cs="楷体_GB2312"/>
          <w:b/>
          <w:bCs/>
          <w:kern w:val="2"/>
          <w:sz w:val="32"/>
          <w:szCs w:val="32"/>
          <w:highlight w:val="none"/>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highlight w:val="none"/>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highlight w:val="none"/>
          <w:lang w:val="en-US" w:eastAsia="zh-CN"/>
        </w:rPr>
        <w:t>我部门2024年度未开展预算项目重点绩效评价，财政部门也未选取我部门2024年度预算项目开展财政重点评价。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numPr>
          <w:numId w:val="0"/>
        </w:numPr>
        <w:kinsoku/>
        <w:wordWrap w:val="0"/>
        <w:overflowPunct/>
        <w:topLinePunct w:val="0"/>
        <w:autoSpaceDE/>
        <w:autoSpaceDN/>
        <w:bidi w:val="0"/>
        <w:jc w:val="center"/>
        <w:outlineLvl w:val="0"/>
        <w:rPr>
          <w:rFonts w:hint="eastAsia" w:ascii="黑体" w:hAnsi="黑体" w:eastAsia="黑体" w:cs="黑体"/>
          <w:sz w:val="48"/>
          <w:szCs w:val="48"/>
          <w:highlight w:val="none"/>
          <w:lang w:val="en-US" w:eastAsia="zh-CN"/>
        </w:rPr>
      </w:pPr>
      <w:bookmarkStart w:id="0" w:name="_GoBack"/>
      <w:r>
        <w:rPr>
          <w:rFonts w:hint="eastAsia" w:ascii="黑体" w:hAnsi="黑体" w:eastAsia="黑体" w:cs="黑体"/>
          <w:sz w:val="48"/>
          <w:szCs w:val="48"/>
          <w:highlight w:val="none"/>
          <w:lang w:val="en-US" w:eastAsia="zh-CN"/>
        </w:rPr>
        <w:t>第四部分  名词解释</w:t>
      </w:r>
    </w:p>
    <w:bookmarkEnd w:id="0"/>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八、</w:t>
      </w:r>
      <w:r>
        <w:rPr>
          <w:rFonts w:ascii="仿宋_GB2312" w:hAnsi="仿宋_GB2312" w:eastAsia="仿宋_GB2312" w:cs="仿宋_GB2312"/>
          <w:sz w:val="32"/>
          <w:szCs w:val="32"/>
          <w:highlight w:val="none"/>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十一</w:t>
      </w:r>
      <w:r>
        <w:rPr>
          <w:rFonts w:ascii="仿宋_GB2312" w:hAnsi="仿宋_GB2312" w:eastAsia="仿宋_GB2312" w:cs="仿宋_GB2312"/>
          <w:sz w:val="32"/>
          <w:szCs w:val="32"/>
          <w:highlight w:val="none"/>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十五、</w:t>
      </w:r>
      <w:r>
        <w:rPr>
          <w:rFonts w:ascii="仿宋_GB2312" w:hAnsi="仿宋_GB2312" w:eastAsia="仿宋_GB2312" w:cs="仿宋_GB2312"/>
          <w:sz w:val="32"/>
          <w:szCs w:val="32"/>
          <w:highlight w:val="none"/>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十六、年末结转和</w:t>
      </w:r>
      <w:r>
        <w:rPr>
          <w:rFonts w:ascii="仿宋_GB2312" w:hAnsi="仿宋_GB2312" w:eastAsia="仿宋_GB2312" w:cs="仿宋_GB2312"/>
          <w:sz w:val="32"/>
          <w:szCs w:val="32"/>
          <w:highlight w:val="none"/>
          <w:lang w:val="en-US" w:eastAsia="zh-CN"/>
        </w:rPr>
        <w:t>结余</w:t>
      </w:r>
      <w:r>
        <w:rPr>
          <w:rFonts w:hint="eastAsia" w:ascii="仿宋_GB2312" w:hAnsi="仿宋_GB2312" w:eastAsia="仿宋_GB2312" w:cs="仿宋_GB2312"/>
          <w:sz w:val="32"/>
          <w:szCs w:val="32"/>
          <w:highlight w:val="none"/>
          <w:lang w:val="en-US" w:eastAsia="zh-CN"/>
        </w:rPr>
        <w:t>：指</w:t>
      </w:r>
      <w:r>
        <w:rPr>
          <w:rFonts w:ascii="仿宋_GB2312" w:hAnsi="仿宋_GB2312" w:eastAsia="仿宋_GB2312" w:cs="仿宋_GB2312"/>
          <w:sz w:val="32"/>
          <w:szCs w:val="32"/>
          <w:highlight w:val="none"/>
          <w:lang w:val="en-US" w:eastAsia="zh-CN"/>
        </w:rPr>
        <w:t>单位按有关规定结转到下年或以后年度</w:t>
      </w:r>
      <w:r>
        <w:rPr>
          <w:rFonts w:hint="eastAsia" w:ascii="仿宋_GB2312" w:hAnsi="仿宋_GB2312" w:eastAsia="仿宋_GB2312" w:cs="仿宋_GB2312"/>
          <w:sz w:val="32"/>
          <w:szCs w:val="32"/>
          <w:highlight w:val="none"/>
          <w:lang w:val="en-US" w:eastAsia="zh-CN"/>
        </w:rPr>
        <w:t>继续</w:t>
      </w:r>
      <w:r>
        <w:rPr>
          <w:rFonts w:ascii="仿宋_GB2312" w:hAnsi="仿宋_GB2312" w:eastAsia="仿宋_GB2312" w:cs="仿宋_GB2312"/>
          <w:sz w:val="32"/>
          <w:szCs w:val="32"/>
          <w:highlight w:val="none"/>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highlight w:val="none"/>
          <w:lang w:val="en-US" w:eastAsia="zh-CN"/>
        </w:rPr>
        <w:t>充电</w:t>
      </w:r>
      <w:r>
        <w:rPr>
          <w:rFonts w:hint="eastAsia" w:ascii="仿宋_GB2312" w:hAnsi="仿宋_GB2312" w:eastAsia="仿宋_GB2312" w:cs="仿宋_GB2312"/>
          <w:sz w:val="32"/>
          <w:szCs w:val="32"/>
          <w:highlight w:val="none"/>
          <w:lang w:val="en-US" w:eastAsia="zh-CN"/>
        </w:rPr>
        <w:t>费</w:t>
      </w:r>
      <w:r>
        <w:rPr>
          <w:rFonts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highlight w:val="none"/>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highlight w:val="none"/>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522AA4"/>
    <w:rsid w:val="4E3D77A5"/>
    <w:rsid w:val="F6F35516"/>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 w:type="character" w:customStyle="1" w:styleId="22">
    <w:name w:val="font3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44</Pages>
  <Words>5673</Words>
  <Characters>10255</Characters>
  <Lines>1</Lines>
  <Paragraphs>1</Paragraphs>
  <TotalTime>5</TotalTime>
  <ScaleCrop>false</ScaleCrop>
  <LinksUpToDate>false</LinksUpToDate>
  <CharactersWithSpaces>10916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2025-12-07T10:10:44Z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eyJoZGlkIjoiMjA0MjYxNzZkYjU3ZGIzNDM5NjU1NGUwYWM4MjQ1YjYiLCJ1c2VySWQiOiIyMDcwNDIwNiJ9</vt:lpwstr>
  </property>
  <property fmtid="{D5CDD505-2E9C-101B-9397-08002B2CF9AE}" pid="4" name="ICV">
    <vt:lpwstr>04F5218A30934DC4B93E8A6FAF71A1B0_13</vt:lpwstr>
  </property>
</Properties>
</file>