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郸城县石槽镇卫生院部门</w:t>
      </w:r>
      <w:bookmarkStart w:id="0" w:name="_GoBack"/>
      <w:bookmarkEnd w:id="0"/>
      <w:r>
        <w:rPr>
          <w:rFonts w:hint="eastAsia" w:ascii="黑体" w:hAnsi="黑体" w:eastAsia="黑体" w:cs="黑体"/>
          <w:sz w:val="52"/>
          <w:szCs w:val="52"/>
          <w:lang w:val="en-US" w:eastAsia="zh-CN"/>
        </w:rPr>
        <w:t>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郸城县石槽镇卫生院概况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郸城县石槽镇卫生院概况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郸城县石槽镇卫生院为人民健康提供医疗和预防保健服务。医疗常见病和多发病的护理、恢复期病人康复治疗与护理、预防保健、卫生技术人员培训、卫生监督、卫生信息管理、疫情防控、健康扶贫等。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石槽镇卫生院内设机构22个，包括：卫生院设有预防保健科、全科医疗科、内科、外科、妇产科、妇女保健科、传染科、急诊医学科、医学检验科、医学影像科、中医科等。后勤科室有办公室、财务科、医保科、信息科等。其他科室设置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从决算单位构成看，郸城县石槽镇卫生院单位决算无独立核算的下属单位。本级决算为单位决算。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3,370.33</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3,540.87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3,540.87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3,540.87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80"/>
        <w:gridCol w:w="2380"/>
        <w:gridCol w:w="895"/>
        <w:gridCol w:w="745"/>
        <w:gridCol w:w="820"/>
        <w:gridCol w:w="902"/>
        <w:gridCol w:w="738"/>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95"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45"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902"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38"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02" w:type="dxa"/>
            <w:vMerge w:val="continue"/>
            <w:vAlign w:val="center"/>
          </w:tcPr>
          <w:p>
            <w:pPr>
              <w:rPr>
                <w:sz w:val="18"/>
                <w:szCs w:val="18"/>
              </w:rPr>
            </w:pPr>
          </w:p>
        </w:tc>
        <w:tc>
          <w:tcPr>
            <w:tcW w:w="738"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continue"/>
            <w:vAlign w:val="center"/>
          </w:tcPr>
          <w:p>
            <w:pPr>
              <w:rPr>
                <w:sz w:val="18"/>
                <w:szCs w:val="18"/>
              </w:rPr>
            </w:pPr>
          </w:p>
        </w:tc>
        <w:tc>
          <w:tcPr>
            <w:tcW w:w="2380"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02" w:type="dxa"/>
            <w:vMerge w:val="continue"/>
            <w:vAlign w:val="center"/>
          </w:tcPr>
          <w:p>
            <w:pPr>
              <w:rPr>
                <w:sz w:val="18"/>
                <w:szCs w:val="18"/>
              </w:rPr>
            </w:pPr>
          </w:p>
        </w:tc>
        <w:tc>
          <w:tcPr>
            <w:tcW w:w="738"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Merge w:val="continue"/>
            <w:vAlign w:val="center"/>
          </w:tcPr>
          <w:p>
            <w:pPr>
              <w:rPr>
                <w:sz w:val="18"/>
                <w:szCs w:val="18"/>
              </w:rPr>
            </w:pPr>
          </w:p>
        </w:tc>
        <w:tc>
          <w:tcPr>
            <w:tcW w:w="2380"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902" w:type="dxa"/>
            <w:vMerge w:val="continue"/>
            <w:vAlign w:val="center"/>
          </w:tcPr>
          <w:p>
            <w:pPr>
              <w:rPr>
                <w:sz w:val="18"/>
                <w:szCs w:val="18"/>
              </w:rPr>
            </w:pPr>
          </w:p>
        </w:tc>
        <w:tc>
          <w:tcPr>
            <w:tcW w:w="738"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95"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45"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2"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38"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3,370.33</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3,370.33</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3,516.13</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145.65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3,370.33</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3,501.41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130.93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3,370.33</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8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2"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55"/>
        <w:gridCol w:w="2725"/>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25"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continue"/>
            <w:vAlign w:val="center"/>
          </w:tcPr>
          <w:p>
            <w:pPr>
              <w:rPr>
                <w:sz w:val="18"/>
                <w:szCs w:val="18"/>
              </w:rPr>
            </w:pPr>
          </w:p>
        </w:tc>
        <w:tc>
          <w:tcPr>
            <w:tcW w:w="272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Merge w:val="continue"/>
            <w:vAlign w:val="center"/>
          </w:tcPr>
          <w:p>
            <w:pPr>
              <w:rPr>
                <w:sz w:val="18"/>
                <w:szCs w:val="18"/>
              </w:rPr>
            </w:pPr>
          </w:p>
        </w:tc>
        <w:tc>
          <w:tcPr>
            <w:tcW w:w="2725"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3,540.87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3,516.13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3,516.13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3,501.41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3,501.41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55"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25"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56"/>
        <w:gridCol w:w="466"/>
        <w:gridCol w:w="1118"/>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56"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6"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118"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56" w:type="dxa"/>
            <w:vMerge w:val="continue"/>
            <w:vAlign w:val="center"/>
          </w:tcPr>
          <w:p>
            <w:pPr>
              <w:rPr>
                <w:sz w:val="18"/>
                <w:szCs w:val="18"/>
              </w:rPr>
            </w:pPr>
          </w:p>
        </w:tc>
        <w:tc>
          <w:tcPr>
            <w:tcW w:w="466" w:type="dxa"/>
            <w:vMerge w:val="continue"/>
            <w:vAlign w:val="center"/>
          </w:tcPr>
          <w:p>
            <w:pPr>
              <w:rPr>
                <w:sz w:val="18"/>
                <w:szCs w:val="18"/>
              </w:rPr>
            </w:pPr>
          </w:p>
        </w:tc>
        <w:tc>
          <w:tcPr>
            <w:tcW w:w="1118"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56"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6" w:type="dxa"/>
            <w:vAlign w:val="center"/>
          </w:tcPr>
          <w:p>
            <w:pPr>
              <w:rPr>
                <w:sz w:val="18"/>
                <w:szCs w:val="18"/>
              </w:rPr>
            </w:pPr>
          </w:p>
        </w:tc>
        <w:tc>
          <w:tcPr>
            <w:tcW w:w="1118"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2856"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66"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66"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66"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2856"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6"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170.39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145.65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145.65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130.93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130.93</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14.71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145.65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95.26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50.39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24.74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8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145.65</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24.74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单位：郸城县石槽镇卫生院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3540.87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与上年度相比，收、支总计各增加837.74万元，增长30.99%，主要原因是：本年度单位业务开展需要，财政拨款资金减少。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3540.87</w:t>
      </w:r>
      <w:r>
        <w:rPr>
          <w:rFonts w:hint="eastAsia" w:ascii="仿宋_GB2312" w:hAnsi="仿宋_GB2312" w:eastAsia="仿宋_GB2312" w:cs="仿宋_GB2312"/>
          <w:sz w:val="32"/>
          <w:szCs w:val="32"/>
          <w:lang w:val="en-US" w:eastAsia="zh-CN"/>
        </w:rPr>
        <w:t>万元，其中：财政拨款收入170.39万元，占4.81%;事业收入3370.33万元，占95.18%;其他收入0.15万元，占0.00%。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3540.87</w:t>
      </w:r>
      <w:r>
        <w:rPr>
          <w:rFonts w:hint="eastAsia" w:ascii="仿宋_GB2312" w:hAnsi="仿宋_GB2312" w:eastAsia="仿宋_GB2312" w:cs="仿宋_GB2312"/>
          <w:sz w:val="32"/>
          <w:szCs w:val="32"/>
          <w:lang w:val="en-US" w:eastAsia="zh-CN"/>
        </w:rPr>
        <w:t>万元，其中：基本支出3540.87万元，占100.00%。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170.39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与上年度相比，财政拨款收、支总计各减少366.29万元，下降68.25%，主要原因是：本年度单位业务开展需要，财政拨款资金减少。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2024年度一般公共预算财政拨款支出170.39万元，占支出合计的4.81%。与上年度相比，一般公共预算财政拨款支出减少366.29万元，下降68.25%，主要原因是：本年度单位业务开展需要，财政拨款资金减少。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年度一般公共预算财政拨款支出170.39万元，主要用于以下方面：卫生健康（类）支出170.39万元，占100.00%。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199.08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170.39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85.59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159.63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130.93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，完成年初预算的82.02%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本年单位业务开展需要，支出减少。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14.71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14.71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24.74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24.74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170.39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145.65</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24.74</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2024年我单位无项目支出，未开展项目绩效管理工作。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2024年我单位无项目支出，未开展项目绩效管理工作。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7D038E"/>
    <w:multiLevelType w:val="singleLevel"/>
    <w:tmpl w:val="FB7D038E"/>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17E725B2"/>
    <w:rsid w:val="2F183D5D"/>
    <w:rsid w:val="6FFFCE6C"/>
    <w:rsid w:val="FF9F3A43"/>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3586</Words>
  <Characters>5374</Characters>
  <Lines>70</Lines>
  <Paragraphs>19</Paragraphs>
  <TotalTime>1</TotalTime>
  <ScaleCrop>false</ScaleCrop>
  <LinksUpToDate>false</LinksUpToDate>
  <CharactersWithSpaces>5857</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2025-12-07T09:40:31Z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