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郸城县人力资源和社会保障局部门决算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郸城县人力资源和社会保障局概况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郸城县人力资源和社会保障局概况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（一）贯彻执行国家人力资源和社会保障法律、法规、政策，拟订落实全县人力资源和社会保障事业发展规划、政策，贯彻落实人力资源和社会保障地方性法规、规章，并监督检查。</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（二）拟订落实全县人力资源市场发展规划和人力资源流动政策，推动建立统一开放、竞争有序的人力资源市场体系，促进人力资源合理流动和优化配置。</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三）负责全县促进就业工作，拟订落实全县统筹城乡的就业发展规划和意见、办法，完善公共就业创业服务体系，统筹建立全县面向城乡劳动者的职业技能培训制度，建立健全就业援助制度，牵头拟订落实全县高校毕业生就业政策；会同有关部门拟订高技能人才、农村实用人才培养和激励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四）统筹推进建立全县覆盖城乡的多层次社会保障体系。统筹拟订养老、失业、工伤等社会保险及其补充保险政策和标准。落实全县统一的养老、失业、工伤保险关系转续办法。会同有关部门拟订落实养老、失业、工伤等社会保险及其补充保险基金管理和监督制度，编制全县相关社会保险基金预决算草案，参与拟订全县相关社会保障基金投资政策；会同有关部门实施全民参保计划并建立统一的社会保险公共服务平台。</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（五）负责全县就业、失业和相关社会保险基金预测预警和信息引导，拟订应对预案，实施预防、调节和控制，保持就业形势稳定和相关社会保险基金总体收支平衡。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六）统筹拟订落实全县劳动人事争议调解仲裁制度和劳动关系政策，完善劳动关系协商协调机制，依据国家工作时间、休息休假和假期相关规定以及特殊劳动保护政策制定实施细则并监督实施；组织实施劳动保障监察，协调劳动者维权工作，依法查处重大案件。</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七）牵头推进深化职称制度改革，拟订落实全县专业技术人员管理、继续教育和博士后管理等政策，负责高层次专业技术人才选拔和培养工作，拟订吸引留学人员来郸工作或定居政策；组织拟订全县技能人才培养、评价、使用和激励制度；完善职业资格制度，健全职业技能多元化评价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（八）会同有关部门指导全县事业单位人事制度改革，按照管理权限负责规范事业单位岗位设置、公开招聘、聘用管理、考核奖励等人事综合管理工作，拟订事业单位工作人员和机关工勤人员管理政策。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九）协助有关部门做好机关公务员录用、公开遴选、公开选调等考试的考务组织工作；会同有关部门组织落实国家表彰奖励制度，综合管理县委、县政府表彰奖励工作，承担全县评比达标表彰等表彰工作，根据授权承办以县委、县政府名义开展的表彰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会同有关部门拟订全县事业单位人员和机关工勤人员工资收入分配政策，建立全县企事业单位人员工资决定、正常增长和支付保障机制；拟订落实全县企事业单位人员、机关工勤人员福利和离退休政策；拟订落实全县机关、事业单位工勤人员技术等级考核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（十一）会同有关部门拟订全县农民工工作的综合性政策和规划，推动相关政策落实，协调解决重点难点问题，维护农民工合法权益。统筹指导全县农民工就业创业和发展家庭服务业促进就业工作。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（十二）承办县委、县政府交办的其他事项。</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三）有关职责分工关于机关事业单位进人问题的职责分工。县委机构编制委员会办公室根据用人单位编制余缺和编制结构情况进行编制审核，核发机构编制审核通知单，并在用人单位办理入减编通知单。相关部门凭机构编制审核通知单和入减编通知单等办理人员录用、聘用（任）、调配、工资核定、社会保障等手续。</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郸城县人力资源和社会保障局内设机构</w:t>
      </w:r>
      <w:r>
        <w:rPr>
          <w:rFonts w:hint="eastAsia" w:ascii="仿宋_GB2312" w:hAnsi="宋体" w:eastAsia="仿宋_GB2312" w:cs="Courier New"/>
          <w:kern w:val="0"/>
          <w:sz w:val="32"/>
          <w:szCs w:val="32"/>
          <w:lang w:val="en-US" w:eastAsia="zh-CN"/>
        </w:rPr>
        <w:t>13</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办公室、人事财务股、法规仲裁股、人力资源市场股、专业技术人员管理股、职业能力建设股、农民工工作股、规划财务和社会保险基金监督股、劳动关系和保障监察股、事业单位人事管理股、工资福利股、职称股、社会保险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从决算单位构成看，郸城县人力资源和社会保障局部门决算包括：本级决算、所属单位决算。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本决算为汇总决算，纳入本部门2024年度部门决算编制范围的单位共5个（1本级和4个所属单位），具体包含：郸城县社会保险中心，郸城县创业就业服务中心，郸城县人才交流和政务服务中心，郸城县劳动保障监察大队。</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r>
        <w:rPr>
          <w:rFonts w:hint="eastAsia" w:ascii="黑体" w:hAnsi="宋体" w:eastAsia="黑体" w:cs="宋体"/>
          <w:kern w:val="0"/>
          <w:sz w:val="28"/>
          <w:szCs w:val="28"/>
          <w:lang w:val="en-US" w:eastAsia="zh-CN"/>
        </w:rPr>
        <w:br w:type="page"/>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部门：郸城县人力资源和社会保障局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7,105.65</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725.07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5,677.17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92.95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535.15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75.30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27.00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7,132.65</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7,132.65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7,132.65</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7,132.65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部门：郸城县人力资源和社会保障局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85"/>
        <w:gridCol w:w="2746"/>
        <w:gridCol w:w="927"/>
        <w:gridCol w:w="955"/>
        <w:gridCol w:w="700"/>
        <w:gridCol w:w="682"/>
        <w:gridCol w:w="718"/>
        <w:gridCol w:w="736"/>
        <w:gridCol w:w="67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631"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27"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955"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70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682"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718"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736"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677"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46"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27" w:type="dxa"/>
            <w:vMerge w:val="continue"/>
            <w:vAlign w:val="center"/>
          </w:tcPr>
          <w:p>
            <w:pPr>
              <w:rPr>
                <w:sz w:val="18"/>
                <w:szCs w:val="18"/>
              </w:rPr>
            </w:pPr>
          </w:p>
        </w:tc>
        <w:tc>
          <w:tcPr>
            <w:tcW w:w="955" w:type="dxa"/>
            <w:vMerge w:val="continue"/>
            <w:vAlign w:val="center"/>
          </w:tcPr>
          <w:p>
            <w:pPr>
              <w:rPr>
                <w:sz w:val="18"/>
                <w:szCs w:val="18"/>
              </w:rPr>
            </w:pPr>
          </w:p>
        </w:tc>
        <w:tc>
          <w:tcPr>
            <w:tcW w:w="700" w:type="dxa"/>
            <w:vMerge w:val="continue"/>
            <w:vAlign w:val="center"/>
          </w:tcPr>
          <w:p>
            <w:pPr>
              <w:rPr>
                <w:sz w:val="18"/>
                <w:szCs w:val="18"/>
              </w:rPr>
            </w:pPr>
          </w:p>
        </w:tc>
        <w:tc>
          <w:tcPr>
            <w:tcW w:w="682" w:type="dxa"/>
            <w:vMerge w:val="continue"/>
            <w:vAlign w:val="center"/>
          </w:tcPr>
          <w:p>
            <w:pPr>
              <w:rPr>
                <w:sz w:val="18"/>
                <w:szCs w:val="18"/>
              </w:rPr>
            </w:pPr>
          </w:p>
        </w:tc>
        <w:tc>
          <w:tcPr>
            <w:tcW w:w="718" w:type="dxa"/>
            <w:vMerge w:val="continue"/>
            <w:vAlign w:val="center"/>
          </w:tcPr>
          <w:p>
            <w:pPr>
              <w:rPr>
                <w:sz w:val="18"/>
                <w:szCs w:val="18"/>
              </w:rPr>
            </w:pPr>
          </w:p>
        </w:tc>
        <w:tc>
          <w:tcPr>
            <w:tcW w:w="736" w:type="dxa"/>
            <w:vMerge w:val="continue"/>
            <w:vAlign w:val="center"/>
          </w:tcPr>
          <w:p>
            <w:pPr>
              <w:rPr>
                <w:sz w:val="18"/>
                <w:szCs w:val="18"/>
              </w:rPr>
            </w:pPr>
          </w:p>
        </w:tc>
        <w:tc>
          <w:tcPr>
            <w:tcW w:w="677"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Merge w:val="continue"/>
            <w:vAlign w:val="center"/>
          </w:tcPr>
          <w:p>
            <w:pPr>
              <w:rPr>
                <w:sz w:val="18"/>
                <w:szCs w:val="18"/>
              </w:rPr>
            </w:pPr>
          </w:p>
        </w:tc>
        <w:tc>
          <w:tcPr>
            <w:tcW w:w="2746" w:type="dxa"/>
            <w:vMerge w:val="continue"/>
            <w:vAlign w:val="center"/>
          </w:tcPr>
          <w:p>
            <w:pPr>
              <w:rPr>
                <w:sz w:val="18"/>
                <w:szCs w:val="18"/>
              </w:rPr>
            </w:pPr>
          </w:p>
        </w:tc>
        <w:tc>
          <w:tcPr>
            <w:tcW w:w="927" w:type="dxa"/>
            <w:vMerge w:val="continue"/>
            <w:vAlign w:val="center"/>
          </w:tcPr>
          <w:p>
            <w:pPr>
              <w:rPr>
                <w:sz w:val="18"/>
                <w:szCs w:val="18"/>
              </w:rPr>
            </w:pPr>
          </w:p>
        </w:tc>
        <w:tc>
          <w:tcPr>
            <w:tcW w:w="955" w:type="dxa"/>
            <w:vMerge w:val="continue"/>
            <w:vAlign w:val="center"/>
          </w:tcPr>
          <w:p>
            <w:pPr>
              <w:rPr>
                <w:sz w:val="18"/>
                <w:szCs w:val="18"/>
              </w:rPr>
            </w:pPr>
          </w:p>
        </w:tc>
        <w:tc>
          <w:tcPr>
            <w:tcW w:w="700" w:type="dxa"/>
            <w:vMerge w:val="continue"/>
            <w:vAlign w:val="center"/>
          </w:tcPr>
          <w:p>
            <w:pPr>
              <w:rPr>
                <w:sz w:val="18"/>
                <w:szCs w:val="18"/>
              </w:rPr>
            </w:pPr>
          </w:p>
        </w:tc>
        <w:tc>
          <w:tcPr>
            <w:tcW w:w="682" w:type="dxa"/>
            <w:vMerge w:val="continue"/>
            <w:vAlign w:val="center"/>
          </w:tcPr>
          <w:p>
            <w:pPr>
              <w:rPr>
                <w:sz w:val="18"/>
                <w:szCs w:val="18"/>
              </w:rPr>
            </w:pPr>
          </w:p>
        </w:tc>
        <w:tc>
          <w:tcPr>
            <w:tcW w:w="718" w:type="dxa"/>
            <w:vMerge w:val="continue"/>
            <w:vAlign w:val="center"/>
          </w:tcPr>
          <w:p>
            <w:pPr>
              <w:rPr>
                <w:sz w:val="18"/>
                <w:szCs w:val="18"/>
              </w:rPr>
            </w:pPr>
          </w:p>
        </w:tc>
        <w:tc>
          <w:tcPr>
            <w:tcW w:w="736" w:type="dxa"/>
            <w:vMerge w:val="continue"/>
            <w:vAlign w:val="center"/>
          </w:tcPr>
          <w:p>
            <w:pPr>
              <w:rPr>
                <w:sz w:val="18"/>
                <w:szCs w:val="18"/>
              </w:rPr>
            </w:pPr>
          </w:p>
        </w:tc>
        <w:tc>
          <w:tcPr>
            <w:tcW w:w="677"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Merge w:val="continue"/>
            <w:vAlign w:val="center"/>
          </w:tcPr>
          <w:p>
            <w:pPr>
              <w:rPr>
                <w:sz w:val="18"/>
                <w:szCs w:val="18"/>
              </w:rPr>
            </w:pPr>
          </w:p>
        </w:tc>
        <w:tc>
          <w:tcPr>
            <w:tcW w:w="2746" w:type="dxa"/>
            <w:vMerge w:val="continue"/>
            <w:vAlign w:val="center"/>
          </w:tcPr>
          <w:p>
            <w:pPr>
              <w:rPr>
                <w:sz w:val="18"/>
                <w:szCs w:val="18"/>
              </w:rPr>
            </w:pPr>
          </w:p>
        </w:tc>
        <w:tc>
          <w:tcPr>
            <w:tcW w:w="927" w:type="dxa"/>
            <w:vMerge w:val="continue"/>
            <w:vAlign w:val="center"/>
          </w:tcPr>
          <w:p>
            <w:pPr>
              <w:rPr>
                <w:sz w:val="18"/>
                <w:szCs w:val="18"/>
              </w:rPr>
            </w:pPr>
          </w:p>
        </w:tc>
        <w:tc>
          <w:tcPr>
            <w:tcW w:w="955" w:type="dxa"/>
            <w:vMerge w:val="continue"/>
            <w:vAlign w:val="center"/>
          </w:tcPr>
          <w:p>
            <w:pPr>
              <w:rPr>
                <w:sz w:val="18"/>
                <w:szCs w:val="18"/>
              </w:rPr>
            </w:pPr>
          </w:p>
        </w:tc>
        <w:tc>
          <w:tcPr>
            <w:tcW w:w="700" w:type="dxa"/>
            <w:vMerge w:val="continue"/>
            <w:vAlign w:val="center"/>
          </w:tcPr>
          <w:p>
            <w:pPr>
              <w:rPr>
                <w:sz w:val="18"/>
                <w:szCs w:val="18"/>
              </w:rPr>
            </w:pPr>
          </w:p>
        </w:tc>
        <w:tc>
          <w:tcPr>
            <w:tcW w:w="682" w:type="dxa"/>
            <w:vMerge w:val="continue"/>
            <w:vAlign w:val="center"/>
          </w:tcPr>
          <w:p>
            <w:pPr>
              <w:rPr>
                <w:sz w:val="18"/>
                <w:szCs w:val="18"/>
              </w:rPr>
            </w:pPr>
          </w:p>
        </w:tc>
        <w:tc>
          <w:tcPr>
            <w:tcW w:w="718" w:type="dxa"/>
            <w:vMerge w:val="continue"/>
            <w:vAlign w:val="center"/>
          </w:tcPr>
          <w:p>
            <w:pPr>
              <w:rPr>
                <w:sz w:val="18"/>
                <w:szCs w:val="18"/>
              </w:rPr>
            </w:pPr>
          </w:p>
        </w:tc>
        <w:tc>
          <w:tcPr>
            <w:tcW w:w="736" w:type="dxa"/>
            <w:vMerge w:val="continue"/>
            <w:vAlign w:val="center"/>
          </w:tcPr>
          <w:p>
            <w:pPr>
              <w:rPr>
                <w:sz w:val="18"/>
                <w:szCs w:val="18"/>
              </w:rPr>
            </w:pPr>
          </w:p>
        </w:tc>
        <w:tc>
          <w:tcPr>
            <w:tcW w:w="677"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631"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27"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55"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7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682"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718"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736"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677"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631"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7,132.65</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7,132.65</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205</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教育支出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20502</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普通教育</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2050202</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小学教育</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5,677.17</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5,677.17</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20801</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人力资源和社会保障管理事务</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1,740.88</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1,740.88</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2080101</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209.61</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209.61</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2080102</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一般行政管理事务</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570.22</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570.22</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2080106</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就业管理事务</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21.66</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21.66</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2080150</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事业运行</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899.08</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899.08</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3"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2080199</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其他人力资源和社会保障管理事务支出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40.31</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40.31</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9"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20807</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就业补助</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2,003.99</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2,003.99</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2080702</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职业培训补贴</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429.68</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429.68</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2080704</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社会保险补贴</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172.00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172.00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2080705</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公益性岗位补贴</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1,395.51</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1,395.51</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2080711</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就业见习补贴</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6.80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6.80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20830</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财政代缴社会保险费支出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7"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2083001</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财政代缴城乡居民基本养老保险费支出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28.37</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28.37</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2101102</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事业单位医疗</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47.94</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47.94</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16.65</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16.65</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213</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农林水支出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21305</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巩固脱贫攻坚成果衔接乡村振兴</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8"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2130599</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其他巩固脱贫攻坚成果衔接乡村振兴支出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223</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国有资本经营预算支出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94"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22301</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解决历史遗留问题及改革成本支出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6" w:hRule="exact"/>
          <w:jc w:val="center"/>
        </w:trPr>
        <w:tc>
          <w:tcPr>
            <w:tcW w:w="885" w:type="dxa"/>
            <w:vAlign w:val="center"/>
          </w:tcPr>
          <w:p>
            <w:pPr>
              <w:snapToGrid w:val="0"/>
              <w:jc w:val="left"/>
              <w:rPr>
                <w:sz w:val="18"/>
                <w:szCs w:val="18"/>
              </w:rPr>
            </w:pPr>
            <w:r>
              <w:rPr>
                <w:rFonts w:ascii="宋体" w:hAnsi="宋体" w:eastAsia="宋体" w:cs="宋体"/>
                <w:b w:val="0"/>
                <w:i w:val="0"/>
                <w:color w:val="000000"/>
                <w:sz w:val="18"/>
                <w:szCs w:val="18"/>
              </w:rPr>
              <w:t>2230105</w:t>
            </w:r>
          </w:p>
        </w:tc>
        <w:tc>
          <w:tcPr>
            <w:tcW w:w="2746" w:type="dxa"/>
            <w:vAlign w:val="center"/>
          </w:tcPr>
          <w:p>
            <w:pPr>
              <w:snapToGrid w:val="0"/>
              <w:jc w:val="left"/>
              <w:rPr>
                <w:sz w:val="18"/>
                <w:szCs w:val="18"/>
              </w:rPr>
            </w:pPr>
            <w:r>
              <w:rPr>
                <w:rFonts w:ascii="宋体" w:hAnsi="宋体" w:eastAsia="宋体" w:cs="宋体"/>
                <w:b w:val="0"/>
                <w:i w:val="0"/>
                <w:color w:val="000000"/>
                <w:sz w:val="18"/>
                <w:szCs w:val="18"/>
              </w:rPr>
              <w:t>国有企业退休人员社会化管理补助支出</w:t>
            </w:r>
          </w:p>
        </w:tc>
        <w:tc>
          <w:tcPr>
            <w:tcW w:w="927"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955"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7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8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部门：郸城县人力资源和社会保障局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7"/>
        <w:gridCol w:w="2713"/>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13"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Merge w:val="continue"/>
            <w:vAlign w:val="center"/>
          </w:tcPr>
          <w:p>
            <w:pPr>
              <w:rPr>
                <w:sz w:val="18"/>
                <w:szCs w:val="18"/>
              </w:rPr>
            </w:pPr>
          </w:p>
        </w:tc>
        <w:tc>
          <w:tcPr>
            <w:tcW w:w="2713"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Merge w:val="continue"/>
            <w:vAlign w:val="center"/>
          </w:tcPr>
          <w:p>
            <w:pPr>
              <w:rPr>
                <w:sz w:val="18"/>
                <w:szCs w:val="18"/>
              </w:rPr>
            </w:pPr>
          </w:p>
        </w:tc>
        <w:tc>
          <w:tcPr>
            <w:tcW w:w="2713"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7,132.65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1,979.24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5,153.41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205</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教育支出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20502</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普通教育</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2050202</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小学教育</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5,677.17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1,810.98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3,866.19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人力资源和社会保障管理事务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1,740.88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1,108.69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632.19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2080101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209.61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209.61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2080102</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一般行政管理事务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570.22</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570.22</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2080106</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就业管理事务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21.66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21.66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2080150</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事业运行</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899.08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899.08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67"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2080199</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其他人力资源和社会保障管理事务支出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40.31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40.31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67"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2080506</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机关事业单位职业年金缴费支出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2080507</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对机关事业单位基本养老保险基金的补助</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20807</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就业补助</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2,003.99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2,003.99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2080702</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职业培训补贴</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429.68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429.68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2080704</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社会保险补贴</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172.00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172.00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2080705</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公益性岗位补贴</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1,395.51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1,395.51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2080711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就业见习补贴</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6.80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6.80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20826</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财政对基本养老保险基金的补助</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2"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2082601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财政对企业职工基本养老保险基金的补助</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6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2082602</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财政对城乡居民基本养老保险基金的补助</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20830</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财政代缴社会保险费支出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85"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2083001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财政代缴城乡居民基本养老保险费支出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28.37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28.37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2101102</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事业单位医疗</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47.94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47.94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16.65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16.65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213</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农林水支出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21305</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巩固脱贫攻坚成果衔接乡村振兴</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7"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2130599</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其他巩固脱贫攻坚成果衔接乡村振兴支出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223</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国有资本经营预算支出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72"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22301</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解决历史遗留问题及改革成本支出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54" w:hRule="exact"/>
          <w:jc w:val="center"/>
        </w:trPr>
        <w:tc>
          <w:tcPr>
            <w:tcW w:w="967" w:type="dxa"/>
            <w:vAlign w:val="center"/>
          </w:tcPr>
          <w:p>
            <w:pPr>
              <w:snapToGrid w:val="0"/>
              <w:jc w:val="left"/>
              <w:rPr>
                <w:sz w:val="18"/>
                <w:szCs w:val="18"/>
              </w:rPr>
            </w:pPr>
            <w:r>
              <w:rPr>
                <w:rFonts w:ascii="宋体" w:hAnsi="宋体" w:eastAsia="宋体" w:cs="宋体"/>
                <w:b w:val="0"/>
                <w:i w:val="0"/>
                <w:color w:val="000000"/>
                <w:sz w:val="18"/>
                <w:szCs w:val="18"/>
              </w:rPr>
              <w:t>2230105</w:t>
            </w:r>
          </w:p>
        </w:tc>
        <w:tc>
          <w:tcPr>
            <w:tcW w:w="2713" w:type="dxa"/>
            <w:vAlign w:val="center"/>
          </w:tcPr>
          <w:p>
            <w:pPr>
              <w:snapToGrid w:val="0"/>
              <w:jc w:val="left"/>
              <w:rPr>
                <w:sz w:val="18"/>
                <w:szCs w:val="18"/>
              </w:rPr>
            </w:pPr>
            <w:r>
              <w:rPr>
                <w:rFonts w:ascii="宋体" w:hAnsi="宋体" w:eastAsia="宋体" w:cs="宋体"/>
                <w:b w:val="0"/>
                <w:i w:val="0"/>
                <w:color w:val="000000"/>
                <w:sz w:val="18"/>
                <w:szCs w:val="18"/>
              </w:rPr>
              <w:t>国有企业退休人员社会化管理补助支出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部门：郸城县人力资源和社会保障局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908"/>
        <w:gridCol w:w="491"/>
        <w:gridCol w:w="1041"/>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908"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91"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041"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908" w:type="dxa"/>
            <w:vMerge w:val="continue"/>
            <w:vAlign w:val="center"/>
          </w:tcPr>
          <w:p>
            <w:pPr>
              <w:rPr>
                <w:sz w:val="18"/>
                <w:szCs w:val="18"/>
              </w:rPr>
            </w:pPr>
          </w:p>
        </w:tc>
        <w:tc>
          <w:tcPr>
            <w:tcW w:w="491" w:type="dxa"/>
            <w:vMerge w:val="continue"/>
            <w:vAlign w:val="center"/>
          </w:tcPr>
          <w:p>
            <w:pPr>
              <w:rPr>
                <w:sz w:val="18"/>
                <w:szCs w:val="18"/>
              </w:rPr>
            </w:pPr>
          </w:p>
        </w:tc>
        <w:tc>
          <w:tcPr>
            <w:tcW w:w="1041"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908"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91" w:type="dxa"/>
            <w:vAlign w:val="center"/>
          </w:tcPr>
          <w:p>
            <w:pPr>
              <w:rPr>
                <w:sz w:val="18"/>
                <w:szCs w:val="18"/>
              </w:rPr>
            </w:pPr>
          </w:p>
        </w:tc>
        <w:tc>
          <w:tcPr>
            <w:tcW w:w="1041"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7,105.65</w:t>
            </w:r>
          </w:p>
        </w:tc>
        <w:tc>
          <w:tcPr>
            <w:tcW w:w="2908"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8"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2908"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5,677.17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5,677.17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27.00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908"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7,132.65</w:t>
            </w:r>
          </w:p>
        </w:tc>
        <w:tc>
          <w:tcPr>
            <w:tcW w:w="2908"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7,132.65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7,105.65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27.00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8"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8" w:type="dxa"/>
            <w:vAlign w:val="center"/>
          </w:tcPr>
          <w:p>
            <w:pPr>
              <w:rPr>
                <w:sz w:val="18"/>
                <w:szCs w:val="18"/>
              </w:rPr>
            </w:pP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041"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8" w:type="dxa"/>
            <w:vAlign w:val="center"/>
          </w:tcPr>
          <w:p>
            <w:pPr>
              <w:rPr>
                <w:sz w:val="18"/>
                <w:szCs w:val="18"/>
              </w:rPr>
            </w:pP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041"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8" w:type="dxa"/>
            <w:vAlign w:val="center"/>
          </w:tcPr>
          <w:p>
            <w:pPr>
              <w:rPr>
                <w:sz w:val="18"/>
                <w:szCs w:val="18"/>
              </w:rPr>
            </w:pP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041"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7,132.65</w:t>
            </w:r>
          </w:p>
        </w:tc>
        <w:tc>
          <w:tcPr>
            <w:tcW w:w="2908"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041" w:type="dxa"/>
            <w:vAlign w:val="center"/>
          </w:tcPr>
          <w:p>
            <w:pPr>
              <w:snapToGrid w:val="0"/>
              <w:jc w:val="right"/>
              <w:rPr>
                <w:sz w:val="18"/>
                <w:szCs w:val="18"/>
              </w:rPr>
            </w:pPr>
            <w:r>
              <w:rPr>
                <w:rFonts w:ascii="宋体" w:hAnsi="宋体" w:eastAsia="宋体" w:cs="宋体"/>
                <w:b w:val="0"/>
                <w:i w:val="0"/>
                <w:color w:val="000000"/>
                <w:sz w:val="18"/>
                <w:szCs w:val="18"/>
              </w:rPr>
              <w:t>7,132.65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7,105.65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27.00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部门：郸城县人力资源和社会保障局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7,105.65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1,979.24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5,126.41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教育支出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725.07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20502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普通教育</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725.07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2050202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小学教育</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725.07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725.07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5,677.17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1,810.98</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3,866.19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人力资源和社会保障管理事务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1,740.88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1,108.69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632.19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2080101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209.61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209.61</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2080102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一般行政管理事务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570.22</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570.22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2080105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劳动保障监察</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2080106</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就业管理事务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21.66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21.66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2080150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事业运行</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899.08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899.08</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其他人力资源和社会保障管理事务支出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40.31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40.31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693.16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20807</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就业补助</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2,003.99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2,003.99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2080701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就业创业服务补贴</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2080702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职业培训补贴</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429.68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429.68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2080704</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社会保险补贴</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172.00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172.00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2080705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公益性岗位补贴</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1,395.51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1,395.51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2080711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就业见习补贴</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6.80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6.80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2080799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其他就业补助支出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20830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财政代缴社会保险费支出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1,230.00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2083001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财政代缴城乡居民基本养老保险费支出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1,230.00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1,230.00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9.14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92.95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28.37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28.37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事业单位医疗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47.94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47.94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16.65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16.65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农林水支出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535.15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21305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巩固脱贫攻坚成果衔接乡村振兴</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535.15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2130599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其他巩固脱贫攻坚成果衔接乡村振兴支出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535.15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535.15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部门：郸城县人力资源和社会保障局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1,379.26</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48.98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793.95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32.48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60.91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24.52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180.33</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9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145.16</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76.31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22.79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75.30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551.00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551.00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4"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14.50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1,930.26</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48.98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部门：郸城县人力资源和社会保障局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部门：郸城县人力资源和社会保障局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27.00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snapToGrid w:val="0"/>
              <w:jc w:val="left"/>
              <w:rPr>
                <w:sz w:val="18"/>
                <w:szCs w:val="18"/>
              </w:rPr>
            </w:pPr>
            <w:r>
              <w:rPr>
                <w:rFonts w:ascii="宋体" w:hAnsi="宋体" w:eastAsia="宋体" w:cs="宋体"/>
                <w:b w:val="0"/>
                <w:i w:val="0"/>
                <w:color w:val="000000"/>
                <w:sz w:val="18"/>
                <w:szCs w:val="18"/>
              </w:rPr>
              <w:t>223</w:t>
            </w:r>
          </w:p>
        </w:tc>
        <w:tc>
          <w:tcPr>
            <w:tcW w:w="5580" w:type="dxa"/>
            <w:vAlign w:val="center"/>
          </w:tcPr>
          <w:p>
            <w:pPr>
              <w:snapToGrid w:val="0"/>
              <w:jc w:val="left"/>
              <w:rPr>
                <w:sz w:val="18"/>
                <w:szCs w:val="18"/>
              </w:rPr>
            </w:pPr>
            <w:r>
              <w:rPr>
                <w:rFonts w:ascii="宋体" w:hAnsi="宋体" w:eastAsia="宋体" w:cs="宋体"/>
                <w:b w:val="0"/>
                <w:i w:val="0"/>
                <w:color w:val="000000"/>
                <w:sz w:val="18"/>
                <w:szCs w:val="18"/>
              </w:rPr>
              <w:t>国有资本经营预算支出</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27.00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snapToGrid w:val="0"/>
              <w:jc w:val="left"/>
              <w:rPr>
                <w:sz w:val="18"/>
                <w:szCs w:val="18"/>
              </w:rPr>
            </w:pPr>
            <w:r>
              <w:rPr>
                <w:rFonts w:ascii="宋体" w:hAnsi="宋体" w:eastAsia="宋体" w:cs="宋体"/>
                <w:b w:val="0"/>
                <w:i w:val="0"/>
                <w:color w:val="000000"/>
                <w:sz w:val="18"/>
                <w:szCs w:val="18"/>
              </w:rPr>
              <w:t>22301</w:t>
            </w:r>
          </w:p>
        </w:tc>
        <w:tc>
          <w:tcPr>
            <w:tcW w:w="5580" w:type="dxa"/>
            <w:vAlign w:val="center"/>
          </w:tcPr>
          <w:p>
            <w:pPr>
              <w:snapToGrid w:val="0"/>
              <w:jc w:val="left"/>
              <w:rPr>
                <w:sz w:val="18"/>
                <w:szCs w:val="18"/>
              </w:rPr>
            </w:pPr>
            <w:r>
              <w:rPr>
                <w:rFonts w:ascii="宋体" w:hAnsi="宋体" w:eastAsia="宋体" w:cs="宋体"/>
                <w:b w:val="0"/>
                <w:i w:val="0"/>
                <w:color w:val="000000"/>
                <w:sz w:val="18"/>
                <w:szCs w:val="18"/>
              </w:rPr>
              <w:t>解决历史遗留问题及改革成本支出</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27.00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snapToGrid w:val="0"/>
              <w:jc w:val="left"/>
              <w:rPr>
                <w:sz w:val="18"/>
                <w:szCs w:val="18"/>
              </w:rPr>
            </w:pPr>
            <w:r>
              <w:rPr>
                <w:rFonts w:ascii="宋体" w:hAnsi="宋体" w:eastAsia="宋体" w:cs="宋体"/>
                <w:b w:val="0"/>
                <w:i w:val="0"/>
                <w:color w:val="000000"/>
                <w:sz w:val="18"/>
                <w:szCs w:val="18"/>
              </w:rPr>
              <w:t>2230105</w:t>
            </w:r>
          </w:p>
        </w:tc>
        <w:tc>
          <w:tcPr>
            <w:tcW w:w="5580" w:type="dxa"/>
            <w:vAlign w:val="center"/>
          </w:tcPr>
          <w:p>
            <w:pPr>
              <w:snapToGrid w:val="0"/>
              <w:jc w:val="left"/>
              <w:rPr>
                <w:sz w:val="18"/>
                <w:szCs w:val="18"/>
              </w:rPr>
            </w:pPr>
            <w:r>
              <w:rPr>
                <w:rFonts w:ascii="宋体" w:hAnsi="宋体" w:eastAsia="宋体" w:cs="宋体"/>
                <w:b w:val="0"/>
                <w:i w:val="0"/>
                <w:color w:val="000000"/>
                <w:sz w:val="18"/>
                <w:szCs w:val="18"/>
              </w:rPr>
              <w:t>国有企业退休人员社会化管理补助支出</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27.00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27.00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部门：郸城县人力资源和社会保障局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2.00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2.00</w:t>
            </w:r>
          </w:p>
        </w:tc>
      </w:tr>
    </w:tbl>
    <w:p>
      <w:pPr>
        <w:rPr>
          <w:sz w:val="18"/>
          <w:szCs w:val="18"/>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highlight w:val="none"/>
          <w:lang w:val="en-US" w:eastAsia="zh-CN"/>
        </w:rPr>
      </w:pPr>
      <w:r>
        <w:rPr>
          <w:rFonts w:hint="eastAsia"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年度收、支总计均为7132.65万元。</w:t>
      </w:r>
      <w:r>
        <w:rPr>
          <w:rFonts w:hint="eastAsia" w:ascii="仿宋" w:hAnsi="仿宋" w:eastAsia="仿宋" w:cs="仿宋"/>
          <w:snapToGrid/>
          <w:color w:val="auto"/>
          <w:kern w:val="2"/>
          <w:sz w:val="32"/>
          <w:szCs w:val="32"/>
          <w:highlight w:val="none"/>
          <w:lang w:val="en-US" w:eastAsia="zh-CN" w:bidi="ar-SA"/>
        </w:rPr>
        <w:t>与上年度相比，收、支总计各减少1.35万元，下降0.02%，主要原因是：本年我单位业务开展减少，支出减少。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年度收入合计</w:t>
      </w:r>
      <w:r>
        <w:rPr>
          <w:rFonts w:hint="eastAsia" w:ascii="仿宋_GB2312" w:hAnsi="Times New Roman" w:eastAsia="仿宋_GB2312"/>
          <w:sz w:val="32"/>
          <w:szCs w:val="32"/>
          <w:highlight w:val="none"/>
          <w:lang w:val="en-US" w:eastAsia="zh-CN"/>
        </w:rPr>
        <w:t>7132.65</w:t>
      </w:r>
      <w:r>
        <w:rPr>
          <w:rFonts w:hint="eastAsia" w:ascii="仿宋_GB2312" w:hAnsi="仿宋_GB2312" w:eastAsia="仿宋_GB2312" w:cs="仿宋_GB2312"/>
          <w:sz w:val="32"/>
          <w:szCs w:val="32"/>
          <w:highlight w:val="none"/>
          <w:lang w:val="en-US" w:eastAsia="zh-CN"/>
        </w:rPr>
        <w:t>万元，其中：财政拨款收入7132.65万元，占100.00%。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年度支出合计</w:t>
      </w:r>
      <w:r>
        <w:rPr>
          <w:rFonts w:hint="eastAsia" w:ascii="仿宋_GB2312" w:hAnsi="Times New Roman" w:eastAsia="仿宋_GB2312"/>
          <w:sz w:val="32"/>
          <w:szCs w:val="32"/>
          <w:highlight w:val="none"/>
          <w:lang w:val="en-US" w:eastAsia="zh-CN"/>
        </w:rPr>
        <w:t>7132.65</w:t>
      </w:r>
      <w:r>
        <w:rPr>
          <w:rFonts w:hint="eastAsia" w:ascii="仿宋_GB2312" w:hAnsi="仿宋_GB2312" w:eastAsia="仿宋_GB2312" w:cs="仿宋_GB2312"/>
          <w:sz w:val="32"/>
          <w:szCs w:val="32"/>
          <w:highlight w:val="none"/>
          <w:lang w:val="en-US" w:eastAsia="zh-CN"/>
        </w:rPr>
        <w:t>万元，其中：基本支出1979.24万元，占27.75%;项目支出5153.41万元，占72.25%。</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eastAsia="仿宋_GB2312"/>
          <w:sz w:val="32"/>
          <w:szCs w:val="32"/>
          <w:highlight w:val="none"/>
          <w:lang w:val="en-US" w:eastAsia="zh-CN"/>
        </w:rPr>
        <w:t>年度财政拨款收、支总计均为</w:t>
      </w:r>
      <w:r>
        <w:rPr>
          <w:rFonts w:hint="eastAsia" w:ascii="仿宋" w:hAnsi="仿宋" w:eastAsia="仿宋"/>
          <w:sz w:val="32"/>
          <w:szCs w:val="32"/>
          <w:highlight w:val="none"/>
          <w:lang w:val="en-US" w:eastAsia="zh-CN"/>
        </w:rPr>
        <w:t>7132.65</w:t>
      </w:r>
      <w:r>
        <w:rPr>
          <w:rFonts w:hint="eastAsia" w:ascii="仿宋_GB2312" w:eastAsia="仿宋_GB2312"/>
          <w:sz w:val="32"/>
          <w:szCs w:val="32"/>
          <w:highlight w:val="none"/>
          <w:lang w:val="en-US" w:eastAsia="zh-CN"/>
        </w:rPr>
        <w:t>万元。</w:t>
      </w:r>
      <w:r>
        <w:rPr>
          <w:rFonts w:hint="eastAsia" w:ascii="仿宋_GB2312" w:hAnsi="仿宋_GB2312" w:eastAsia="仿宋_GB2312" w:cs="仿宋_GB2312"/>
          <w:sz w:val="32"/>
          <w:szCs w:val="32"/>
          <w:highlight w:val="none"/>
          <w:lang w:val="en-US" w:eastAsia="zh-CN"/>
        </w:rPr>
        <w:t>与上年度相比，财政拨款收、支总计各减少1.35万元，下降0.02%，主要原因是：本年我单位业务开展减少，支出减少。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2024年度一般公共预算财政拨款支出7105.65万元，占支出合计的99.62%。与上年度相比，一般公共预算财政拨款支出减少28.35万元，下降0.40%，主要原因是：本年我单位业务开展减少，支出减少。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支出7105.65万元，主要用于以下方面：教育（类）支出725.07万元，占10.20%;社会保障和就业（类）支出5677.17万元，占79.90%;卫生健康（类）支出92.95万元，占1.31%;农林水（类）支出535.15万元，占7.53%;住房保障（类）支出75.30万元，占1.06%。</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年度一般公共预算财政拨款支出年初预算为</w:t>
      </w:r>
      <w:r>
        <w:rPr>
          <w:rFonts w:hint="eastAsia" w:ascii="仿宋_GB2312" w:hAnsi="Times New Roman" w:eastAsia="仿宋_GB2312"/>
          <w:sz w:val="32"/>
          <w:szCs w:val="32"/>
          <w:highlight w:val="none"/>
          <w:lang w:val="en-US" w:eastAsia="zh-CN"/>
        </w:rPr>
        <w:t>7105.65</w:t>
      </w:r>
      <w:r>
        <w:rPr>
          <w:rFonts w:hint="eastAsia" w:ascii="仿宋_GB2312" w:hAnsi="仿宋_GB2312" w:eastAsia="仿宋_GB2312" w:cs="仿宋_GB2312"/>
          <w:sz w:val="32"/>
          <w:szCs w:val="32"/>
          <w:highlight w:val="none"/>
          <w:lang w:val="en-US" w:eastAsia="zh-CN"/>
        </w:rPr>
        <w:t>万元，支出决算为</w:t>
      </w:r>
      <w:r>
        <w:rPr>
          <w:rFonts w:hint="eastAsia" w:ascii="仿宋_GB2312" w:hAnsi="Times New Roman" w:eastAsia="仿宋_GB2312"/>
          <w:sz w:val="32"/>
          <w:szCs w:val="32"/>
          <w:highlight w:val="none"/>
          <w:lang w:val="en-US" w:eastAsia="zh-CN"/>
        </w:rPr>
        <w:t>7105.65</w:t>
      </w:r>
      <w:r>
        <w:rPr>
          <w:rFonts w:hint="eastAsia" w:ascii="仿宋_GB2312" w:hAnsi="仿宋_GB2312" w:eastAsia="仿宋_GB2312" w:cs="仿宋_GB2312"/>
          <w:sz w:val="32"/>
          <w:szCs w:val="32"/>
          <w:highlight w:val="none"/>
          <w:lang w:val="en-US" w:eastAsia="zh-CN"/>
        </w:rPr>
        <w:t>万元，完成年初预算的100.00%。其中：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725.07</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社会保障和就业支出（类）人力资源和社会保障管理事务（款）行政运行（项）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273.07</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209.61</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，完成年初预算的76.76%</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社会保障和就业支出（类）人力资源和社会保障管理事务（款）一般行政管理事务（项）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201.65</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570.22</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，完成年初预算的282.78%</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年中工作变化较大，存在追加项目经费，导致差异。</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社会保障和就业支出（类）人力资源和社会保障管理事务（款）就业管理事务（项）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21.66</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，完成年初预算的43.32%</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根据单位业务开展情况，支出减少。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社会保障和就业支出（类）人力资源和社会保障管理事务（款）事业运行（项）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847.68</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899.08</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，完成年初预算的106.06%</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本年单位该项资金未清算年中工作变化较大，存在追加项目经费，导致差异。</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社会保障和就业支出（类）人力资源和社会保障管理事务（款）其他人力资源和社会保障管理事务支出（项）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40.31</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18691.23</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693.16</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，完成年初预算的3.71%</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社会保障和就业支出（类）就业补助（款）职业培训补贴（项）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429.68</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，完成年初预算的716.13%</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年中工作变化较大，存在追加项目经费，导致差异。</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社会保障和就业支出（类）就业补助（款）社会保险补贴（项）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172.00</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，完成年初预算的344.00%</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年中工作变化较大，存在追加项目经费，导致差异。</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社会保障和就业支出（类）就业补助（款）公益性岗位补贴（项）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1395.51</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社会保障和就业支出（类）就业补助（款）就业见习补贴（项）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6.80</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社会保障和就业支出（类）财政代缴社会保险费支出（款）财政代缴城乡居民基本养老保险费支出（项）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1230.00</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9.89</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9.14</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，完成年初预算的92.42%</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9.85</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28.37</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，完成年初预算的287.97%</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47.94</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47.94</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本年度我单位人员社保基数上调。</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16.65</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16.65</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，完成年初预算的99.98%</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农林水支出（类）巩固脱贫攻坚成果衔接乡村振兴（款）其他巩固脱贫攻坚成果衔接乡村振兴支出（项）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535.15</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72.24</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75.30</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，完成年初预算的104.24%</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本年度我单位人员社保基数上调。</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年度一般公共预算财政拨款基本支出</w:t>
      </w:r>
      <w:r>
        <w:rPr>
          <w:rFonts w:hint="eastAsia" w:ascii="仿宋_GB2312" w:hAnsi="Times New Roman" w:eastAsia="仿宋_GB2312"/>
          <w:sz w:val="32"/>
          <w:szCs w:val="32"/>
          <w:highlight w:val="none"/>
          <w:lang w:val="en-US" w:eastAsia="zh-CN"/>
        </w:rPr>
        <w:t>1979.24</w:t>
      </w:r>
      <w:r>
        <w:rPr>
          <w:rFonts w:hint="eastAsia" w:ascii="仿宋_GB2312" w:hAnsi="仿宋_GB2312" w:eastAsia="仿宋_GB2312" w:cs="仿宋_GB2312"/>
          <w:sz w:val="32"/>
          <w:szCs w:val="32"/>
          <w:highlight w:val="none"/>
          <w:lang w:val="en-US" w:eastAsia="zh-CN"/>
        </w:rPr>
        <w:t>万元。其中：人员经费</w:t>
      </w:r>
      <w:r>
        <w:rPr>
          <w:rFonts w:hint="eastAsia" w:ascii="仿宋_GB2312" w:hAnsi="Times New Roman" w:eastAsia="仿宋_GB2312"/>
          <w:sz w:val="32"/>
          <w:szCs w:val="32"/>
          <w:highlight w:val="none"/>
          <w:lang w:val="en-US" w:eastAsia="zh-CN"/>
        </w:rPr>
        <w:t>1930.26</w:t>
      </w:r>
      <w:r>
        <w:rPr>
          <w:rFonts w:hint="eastAsia" w:ascii="仿宋_GB2312" w:hAnsi="仿宋_GB2312" w:eastAsia="仿宋_GB2312" w:cs="仿宋_GB2312"/>
          <w:sz w:val="32"/>
          <w:szCs w:val="32"/>
          <w:highlight w:val="none"/>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highlight w:val="none"/>
          <w:lang w:val="en-US" w:eastAsia="zh-CN"/>
        </w:rPr>
        <w:t>48.98</w:t>
      </w:r>
      <w:r>
        <w:rPr>
          <w:rFonts w:hint="eastAsia" w:ascii="仿宋_GB2312" w:hAnsi="仿宋_GB2312" w:eastAsia="仿宋_GB2312" w:cs="仿宋_GB2312"/>
          <w:sz w:val="32"/>
          <w:szCs w:val="32"/>
          <w:highlight w:val="none"/>
          <w:lang w:val="en-US" w:eastAsia="zh-CN"/>
        </w:rPr>
        <w:t>万元，主要包括：办公费、公务接待费、福利费。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2024年度国有资本经营预算财政拨款支出年初预算为27.00万元，支出决算为27.00万元，完成年初预算的100.00%，主要用于国有企业退休人员社会化管理补助支出。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年度一般公共预算财政拨款“三公”经费支出预算为</w:t>
      </w:r>
      <w:r>
        <w:rPr>
          <w:rFonts w:hint="eastAsia" w:ascii="仿宋_GB2312" w:hAnsi="Times New Roman" w:eastAsia="仿宋_GB2312"/>
          <w:sz w:val="32"/>
          <w:szCs w:val="32"/>
          <w:highlight w:val="none"/>
          <w:lang w:val="en-US" w:eastAsia="zh-CN"/>
        </w:rPr>
        <w:t>0.00</w:t>
      </w:r>
      <w:r>
        <w:rPr>
          <w:rFonts w:hint="eastAsia" w:ascii="仿宋_GB2312" w:hAnsi="仿宋_GB2312" w:eastAsia="仿宋_GB2312" w:cs="仿宋_GB2312"/>
          <w:sz w:val="32"/>
          <w:szCs w:val="32"/>
          <w:highlight w:val="none"/>
          <w:lang w:val="en-US" w:eastAsia="zh-CN"/>
        </w:rPr>
        <w:t>万元，支出决算为</w:t>
      </w:r>
      <w:r>
        <w:rPr>
          <w:rFonts w:hint="eastAsia" w:ascii="仿宋_GB2312" w:hAnsi="Times New Roman" w:eastAsia="仿宋_GB2312"/>
          <w:sz w:val="32"/>
          <w:szCs w:val="32"/>
          <w:highlight w:val="none"/>
          <w:lang w:val="en-US" w:eastAsia="zh-CN"/>
        </w:rPr>
        <w:t>2.00</w:t>
      </w:r>
      <w:r>
        <w:rPr>
          <w:rFonts w:hint="eastAsia" w:ascii="仿宋_GB2312" w:hAnsi="仿宋_GB2312" w:eastAsia="仿宋_GB2312" w:cs="仿宋_GB2312"/>
          <w:sz w:val="32"/>
          <w:szCs w:val="32"/>
          <w:highlight w:val="none"/>
          <w:lang w:val="en-US" w:eastAsia="zh-CN"/>
        </w:rPr>
        <w:t>万元，完成预算的100.00%。</w:t>
      </w:r>
      <w:r>
        <w:rPr>
          <w:rFonts w:hint="eastAsia" w:ascii="仿宋" w:hAnsi="仿宋" w:eastAsia="仿宋" w:cs="Times New Roman"/>
          <w:sz w:val="32"/>
          <w:szCs w:val="32"/>
          <w:highlight w:val="none"/>
          <w:lang w:val="en-US" w:eastAsia="zh-CN"/>
        </w:rPr>
        <w:t>2024年度一般公共预算财政拨款“三公”经费支出决算数与预算数存在差异的主要原因是：单位年中追加公务接待预算。</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年度一般公共预算财政拨款“三公”经费支出决算中，因公出国（境）费支出决算</w:t>
      </w:r>
      <w:r>
        <w:rPr>
          <w:rFonts w:hint="eastAsia" w:ascii="仿宋_GB2312" w:hAnsi="Times New Roman" w:eastAsia="仿宋_GB2312"/>
          <w:sz w:val="32"/>
          <w:szCs w:val="32"/>
          <w:highlight w:val="none"/>
          <w:lang w:val="en-US" w:eastAsia="zh-CN"/>
        </w:rPr>
        <w:t>0.00</w:t>
      </w:r>
      <w:r>
        <w:rPr>
          <w:rFonts w:hint="eastAsia" w:ascii="仿宋_GB2312" w:hAnsi="仿宋_GB2312" w:eastAsia="仿宋_GB2312" w:cs="仿宋_GB2312"/>
          <w:sz w:val="32"/>
          <w:szCs w:val="32"/>
          <w:highlight w:val="none"/>
          <w:lang w:val="en-US" w:eastAsia="zh-CN"/>
        </w:rPr>
        <w:t>万元，占0.00%；公务用车购置及运行费支出决算</w:t>
      </w:r>
      <w:r>
        <w:rPr>
          <w:rFonts w:hint="eastAsia" w:ascii="仿宋_GB2312" w:hAnsi="Times New Roman" w:eastAsia="仿宋_GB2312"/>
          <w:sz w:val="32"/>
          <w:szCs w:val="32"/>
          <w:highlight w:val="none"/>
          <w:lang w:val="en-US" w:eastAsia="zh-CN"/>
        </w:rPr>
        <w:t>0.00</w:t>
      </w:r>
      <w:r>
        <w:rPr>
          <w:rFonts w:hint="eastAsia" w:ascii="仿宋_GB2312" w:hAnsi="仿宋_GB2312" w:eastAsia="仿宋_GB2312" w:cs="仿宋_GB2312"/>
          <w:sz w:val="32"/>
          <w:szCs w:val="32"/>
          <w:highlight w:val="none"/>
          <w:lang w:val="en-US" w:eastAsia="zh-CN"/>
        </w:rPr>
        <w:t>万元，占0.00%；公务接待费支出决算</w:t>
      </w:r>
      <w:r>
        <w:rPr>
          <w:rFonts w:hint="eastAsia" w:ascii="仿宋_GB2312" w:hAnsi="Times New Roman" w:eastAsia="仿宋_GB2312"/>
          <w:sz w:val="32"/>
          <w:szCs w:val="32"/>
          <w:highlight w:val="none"/>
          <w:lang w:val="en-US" w:eastAsia="zh-CN"/>
        </w:rPr>
        <w:t>2.00</w:t>
      </w:r>
      <w:r>
        <w:rPr>
          <w:rFonts w:hint="eastAsia" w:ascii="仿宋_GB2312" w:hAnsi="仿宋_GB2312" w:eastAsia="仿宋_GB2312" w:cs="仿宋_GB2312"/>
          <w:sz w:val="32"/>
          <w:szCs w:val="32"/>
          <w:highlight w:val="none"/>
          <w:lang w:val="en-US" w:eastAsia="zh-CN"/>
        </w:rPr>
        <w:t>万元，占100.00%。具体情况如下：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1．因公出国（境）费</w:t>
      </w:r>
      <w:r>
        <w:rPr>
          <w:rFonts w:hint="eastAsia" w:ascii="仿宋_GB2312" w:hAnsi="仿宋_GB2312" w:eastAsia="仿宋_GB2312" w:cs="仿宋_GB2312"/>
          <w:sz w:val="32"/>
          <w:szCs w:val="32"/>
          <w:highlight w:val="none"/>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2．公务用车购置及运行费</w:t>
      </w:r>
      <w:r>
        <w:rPr>
          <w:rFonts w:hint="eastAsia" w:ascii="仿宋_GB2312" w:hAnsi="仿宋_GB2312" w:eastAsia="仿宋_GB2312" w:cs="仿宋_GB2312"/>
          <w:sz w:val="32"/>
          <w:szCs w:val="32"/>
          <w:highlight w:val="none"/>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公务用车购置支出</w:t>
      </w:r>
      <w:r>
        <w:rPr>
          <w:rFonts w:hint="eastAsia" w:ascii="仿宋_GB2312" w:hAnsi="仿宋_GB2312" w:eastAsia="仿宋_GB2312" w:cs="仿宋_GB2312"/>
          <w:sz w:val="32"/>
          <w:szCs w:val="32"/>
          <w:highlight w:val="none"/>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公务用车运行维护支出</w:t>
      </w:r>
      <w:r>
        <w:rPr>
          <w:rFonts w:hint="eastAsia" w:ascii="仿宋_GB2312" w:hAnsi="仿宋_GB2312" w:eastAsia="仿宋_GB2312" w:cs="仿宋_GB2312"/>
          <w:sz w:val="32"/>
          <w:szCs w:val="32"/>
          <w:highlight w:val="none"/>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3.公务接待费</w:t>
      </w:r>
      <w:r>
        <w:rPr>
          <w:rFonts w:hint="eastAsia" w:ascii="仿宋_GB2312" w:hAnsi="仿宋_GB2312" w:eastAsia="仿宋_GB2312" w:cs="仿宋_GB2312"/>
          <w:sz w:val="32"/>
          <w:szCs w:val="32"/>
          <w:highlight w:val="none"/>
          <w:lang w:val="en-US" w:eastAsia="zh-CN"/>
        </w:rPr>
        <w:t>预算为0.00万元，支出决算为2.00万元，完成预算的0.00%。决算数与预算数存在差异的主要原因是：单位年中追加公务接待预算。其中：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外宾接待支出</w:t>
      </w:r>
      <w:r>
        <w:rPr>
          <w:rFonts w:hint="eastAsia" w:ascii="仿宋_GB2312" w:hAnsi="仿宋_GB2312" w:eastAsia="仿宋_GB2312" w:cs="仿宋_GB2312"/>
          <w:sz w:val="32"/>
          <w:szCs w:val="32"/>
          <w:highlight w:val="none"/>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其他国内公务接待支出</w:t>
      </w:r>
      <w:r>
        <w:rPr>
          <w:rFonts w:hint="eastAsia" w:ascii="仿宋_GB2312" w:hAnsi="仿宋_GB2312" w:eastAsia="仿宋_GB2312" w:cs="仿宋_GB2312"/>
          <w:sz w:val="32"/>
          <w:szCs w:val="32"/>
          <w:highlight w:val="none"/>
          <w:lang w:val="en-US" w:eastAsia="zh-CN"/>
        </w:rPr>
        <w:t>2.00万元。主要用于单位正常公务接待费用。2024年共接待国内来访团组56个、来宾336人次（不包括陪同人员）。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highlight w:val="none"/>
          <w:lang w:val="en-US" w:eastAsia="zh-CN" w:bidi="ar-SA"/>
        </w:rPr>
      </w:pPr>
      <w:r>
        <w:rPr>
          <w:rFonts w:hint="eastAsia" w:ascii="仿宋" w:hAnsi="仿宋" w:eastAsia="仿宋" w:cs="仿宋"/>
          <w:snapToGrid/>
          <w:color w:val="000000"/>
          <w:kern w:val="2"/>
          <w:sz w:val="32"/>
          <w:szCs w:val="32"/>
          <w:highlight w:val="none"/>
          <w:lang w:val="en-US" w:eastAsia="zh-CN" w:bidi="ar-SA"/>
        </w:rPr>
        <w:t>2024年度机关运行经费支出48.98万元，比2023年减少1.02万元，下降2.04%。主要原因是：本年我单位业务支出减少，机关运行经费减少。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hAnsi="Times New Roman" w:eastAsia="仿宋_GB2312" w:cs="Times New Roman"/>
          <w:sz w:val="32"/>
          <w:szCs w:val="32"/>
          <w:highlight w:val="none"/>
          <w:lang w:val="en-US" w:eastAsia="zh-CN"/>
        </w:rPr>
        <w:t>2024</w:t>
      </w:r>
      <w:r>
        <w:rPr>
          <w:rFonts w:hint="eastAsia" w:ascii="仿宋_GB2312" w:hAnsi="Times New Roman" w:eastAsia="仿宋_GB2312" w:cs="Times New Roman"/>
          <w:sz w:val="32"/>
          <w:szCs w:val="32"/>
          <w:highlight w:val="none"/>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highlight w:val="none"/>
          <w:lang w:val="en-US" w:eastAsia="zh-CN"/>
        </w:rPr>
        <w:t>企业合同金额</w:t>
      </w:r>
      <w:r>
        <w:rPr>
          <w:rFonts w:hint="eastAsia" w:ascii="仿宋_GB2312" w:hAnsi="Times New Roman" w:eastAsia="仿宋_GB2312" w:cs="Times New Roman"/>
          <w:sz w:val="32"/>
          <w:szCs w:val="32"/>
          <w:highlight w:val="none"/>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w:t>
      </w:r>
      <w:r>
        <w:rPr>
          <w:rFonts w:hint="eastAsia" w:ascii="仿宋_GB2312" w:hAnsi="Times New Roman" w:eastAsia="仿宋_GB2312" w:cs="Times New Roman"/>
          <w:sz w:val="32"/>
          <w:szCs w:val="32"/>
          <w:highlight w:val="none"/>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highlight w:val="none"/>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highlight w:val="none"/>
          <w:lang w:val="en-US" w:eastAsia="zh-CN"/>
        </w:rPr>
      </w:pPr>
      <w:r>
        <w:rPr>
          <w:rFonts w:hint="eastAsia" w:ascii="仿宋" w:hAnsi="仿宋" w:eastAsia="仿宋" w:cs="仿宋"/>
          <w:kern w:val="2"/>
          <w:sz w:val="32"/>
          <w:szCs w:val="32"/>
          <w:highlight w:val="none"/>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9</w:t>
      </w:r>
      <w:r>
        <w:rPr>
          <w:rFonts w:hint="eastAsia" w:ascii="仿宋" w:hAnsi="仿宋" w:eastAsia="仿宋" w:cs="仿宋"/>
          <w:kern w:val="2"/>
          <w:sz w:val="32"/>
          <w:szCs w:val="32"/>
          <w:highlight w:val="none"/>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9</w:t>
      </w:r>
      <w:r>
        <w:rPr>
          <w:rFonts w:hint="eastAsia" w:ascii="仿宋" w:hAnsi="仿宋" w:eastAsia="仿宋" w:cs="仿宋"/>
          <w:kern w:val="2"/>
          <w:sz w:val="32"/>
          <w:szCs w:val="32"/>
          <w:highlight w:val="none"/>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2160.07</w:t>
      </w:r>
      <w:r>
        <w:rPr>
          <w:rFonts w:hint="eastAsia" w:ascii="仿宋" w:hAnsi="仿宋" w:eastAsia="仿宋" w:cs="仿宋"/>
          <w:kern w:val="2"/>
          <w:sz w:val="32"/>
          <w:szCs w:val="32"/>
          <w:highlight w:val="none"/>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我部门对2024年度</w:t>
      </w:r>
      <w:r>
        <w:rPr>
          <w:rFonts w:hint="eastAsia" w:ascii="仿宋_GB2312" w:hAnsi="仿宋_GB2312" w:eastAsia="仿宋_GB2312" w:cs="仿宋_GB2312"/>
          <w:sz w:val="32"/>
          <w:szCs w:val="32"/>
          <w:highlight w:val="none"/>
          <w:lang w:val="en-US" w:eastAsia="zh-CN"/>
        </w:rPr>
        <w:t>9</w:t>
      </w:r>
      <w:r>
        <w:rPr>
          <w:rFonts w:hint="eastAsia" w:ascii="仿宋" w:hAnsi="仿宋" w:eastAsia="仿宋" w:cs="仿宋"/>
          <w:kern w:val="2"/>
          <w:sz w:val="32"/>
          <w:szCs w:val="32"/>
          <w:highlight w:val="none"/>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84.95</w:t>
      </w:r>
      <w:r>
        <w:rPr>
          <w:rFonts w:hint="eastAsia" w:ascii="仿宋" w:hAnsi="仿宋" w:eastAsia="仿宋" w:cs="仿宋"/>
          <w:kern w:val="2"/>
          <w:sz w:val="32"/>
          <w:szCs w:val="32"/>
          <w:highlight w:val="none"/>
          <w:lang w:val="en-US" w:eastAsia="zh-CN"/>
        </w:rPr>
        <w:t>分。其中：自评结果</w:t>
      </w:r>
      <w:r>
        <w:rPr>
          <w:rFonts w:hint="eastAsia" w:ascii="仿宋_GB2312" w:hAnsi="仿宋_GB2312" w:eastAsia="仿宋_GB2312" w:cs="仿宋_GB2312"/>
          <w:sz w:val="32"/>
          <w:szCs w:val="32"/>
          <w:highlight w:val="none"/>
          <w:lang w:val="en-US" w:eastAsia="zh-CN"/>
        </w:rPr>
        <w:t>6</w:t>
      </w:r>
      <w:r>
        <w:rPr>
          <w:rFonts w:hint="eastAsia" w:ascii="仿宋" w:hAnsi="仿宋" w:eastAsia="仿宋" w:cs="仿宋"/>
          <w:kern w:val="2"/>
          <w:sz w:val="32"/>
          <w:szCs w:val="32"/>
          <w:highlight w:val="none"/>
          <w:lang w:val="en-US" w:eastAsia="zh-CN"/>
        </w:rPr>
        <w:t>个为优，</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highlight w:val="none"/>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highlight w:val="none"/>
          <w:lang w:val="en-US" w:eastAsia="zh-CN"/>
        </w:rPr>
        <w:t>个为中，</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highlight w:val="none"/>
          <w:lang w:val="en-US" w:eastAsia="zh-CN"/>
        </w:rPr>
        <w:t>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highlight w:val="none"/>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05"/>
        <w:gridCol w:w="565"/>
        <w:gridCol w:w="304"/>
        <w:gridCol w:w="1561"/>
        <w:gridCol w:w="13"/>
        <w:gridCol w:w="1575"/>
        <w:gridCol w:w="204"/>
        <w:gridCol w:w="1370"/>
        <w:gridCol w:w="1193"/>
        <w:gridCol w:w="381"/>
        <w:gridCol w:w="1575"/>
        <w:gridCol w:w="492"/>
        <w:gridCol w:w="1083"/>
        <w:gridCol w:w="200"/>
        <w:gridCol w:w="1375"/>
        <w:gridCol w:w="93"/>
        <w:gridCol w:w="1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1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5000" w:type="pct"/>
            <w:gridSpan w:val="1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项目名称</w:t>
            </w:r>
          </w:p>
        </w:tc>
        <w:tc>
          <w:tcPr>
            <w:tcW w:w="4551" w:type="pct"/>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24年新上级就业补助资金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主管部门</w:t>
            </w:r>
          </w:p>
        </w:tc>
        <w:tc>
          <w:tcPr>
            <w:tcW w:w="1290"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郸城县其他户</w:t>
            </w:r>
          </w:p>
        </w:tc>
        <w:tc>
          <w:tcPr>
            <w:tcW w:w="176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实施单位</w:t>
            </w:r>
          </w:p>
        </w:tc>
        <w:tc>
          <w:tcPr>
            <w:tcW w:w="1494"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郸城县财政局专项资金管理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项目资金                (万元)</w:t>
            </w:r>
          </w:p>
        </w:tc>
        <w:tc>
          <w:tcPr>
            <w:tcW w:w="65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c>
          <w:tcPr>
            <w:tcW w:w="63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年初预算数</w:t>
            </w:r>
          </w:p>
        </w:tc>
        <w:tc>
          <w:tcPr>
            <w:tcW w:w="90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全年预算数</w:t>
            </w:r>
          </w:p>
        </w:tc>
        <w:tc>
          <w:tcPr>
            <w:tcW w:w="8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全年执行数</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执行率</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Style w:val="22"/>
                <w:sz w:val="18"/>
                <w:szCs w:val="18"/>
                <w:highlight w:val="none"/>
                <w:lang w:val="en-US" w:eastAsia="zh-CN" w:bidi="ar"/>
              </w:rPr>
              <w:t>年度资金总额：</w:t>
            </w:r>
          </w:p>
        </w:tc>
        <w:tc>
          <w:tcPr>
            <w:tcW w:w="63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1558.05</w:t>
            </w:r>
          </w:p>
        </w:tc>
        <w:tc>
          <w:tcPr>
            <w:tcW w:w="90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1558.05</w:t>
            </w:r>
          </w:p>
        </w:tc>
        <w:tc>
          <w:tcPr>
            <w:tcW w:w="8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1558.05</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财政拨款</w:t>
            </w:r>
          </w:p>
        </w:tc>
        <w:tc>
          <w:tcPr>
            <w:tcW w:w="63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1558.05</w:t>
            </w:r>
          </w:p>
        </w:tc>
        <w:tc>
          <w:tcPr>
            <w:tcW w:w="90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1558.05</w:t>
            </w:r>
          </w:p>
        </w:tc>
        <w:tc>
          <w:tcPr>
            <w:tcW w:w="8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1558.05</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100.0 %</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财政专户管理资金</w:t>
            </w:r>
          </w:p>
        </w:tc>
        <w:tc>
          <w:tcPr>
            <w:tcW w:w="63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90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8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单位资金</w:t>
            </w:r>
          </w:p>
        </w:tc>
        <w:tc>
          <w:tcPr>
            <w:tcW w:w="63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90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8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资金管理情况</w:t>
            </w:r>
          </w:p>
        </w:tc>
        <w:tc>
          <w:tcPr>
            <w:tcW w:w="1290" w:type="pct"/>
            <w:gridSpan w:val="5"/>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c>
          <w:tcPr>
            <w:tcW w:w="176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情况说明</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分值（20）</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c>
          <w:tcPr>
            <w:tcW w:w="523"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290" w:type="pct"/>
            <w:gridSpan w:val="5"/>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安排科学性</w:t>
            </w:r>
          </w:p>
        </w:tc>
        <w:tc>
          <w:tcPr>
            <w:tcW w:w="176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本项目的预算编制经过科学论证，预算内容与项目内容匹配，预算额度测算依据充分，预算额度按照标准编制，预算确定的项目资金量与工作任务</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23"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290" w:type="pct"/>
            <w:gridSpan w:val="5"/>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拨付合规性</w:t>
            </w:r>
          </w:p>
        </w:tc>
        <w:tc>
          <w:tcPr>
            <w:tcW w:w="176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本项目的资金拨付有完整的审批程序和手续，未出现审批程序和手续不合规的情况。</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23"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290" w:type="pct"/>
            <w:gridSpan w:val="5"/>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使用规范性</w:t>
            </w:r>
          </w:p>
        </w:tc>
        <w:tc>
          <w:tcPr>
            <w:tcW w:w="176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本项目的资金使用符合国家财经法规和财务管理制度以及有关专项资金管理办法的规定，符合项目预算批复或合同规定的用途，不存在截留、挤占</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23"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290" w:type="pct"/>
            <w:gridSpan w:val="5"/>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预算绩效管理情况</w:t>
            </w:r>
          </w:p>
        </w:tc>
        <w:tc>
          <w:tcPr>
            <w:tcW w:w="176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本项目的资金已全部纳入预算绩效管理系统，完成了绩效目标设置、绩效监控、绩效自评价等预算绩效管理流程。</w:t>
            </w:r>
          </w:p>
        </w:tc>
        <w:tc>
          <w:tcPr>
            <w:tcW w:w="4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23"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24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年度总体目标</w:t>
            </w:r>
          </w:p>
        </w:tc>
        <w:tc>
          <w:tcPr>
            <w:tcW w:w="148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预期目标</w:t>
            </w:r>
          </w:p>
        </w:tc>
        <w:tc>
          <w:tcPr>
            <w:tcW w:w="3261" w:type="pct"/>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3" w:hRule="atLeast"/>
        </w:trPr>
        <w:tc>
          <w:tcPr>
            <w:tcW w:w="2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489" w:type="pct"/>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24年新上级就业补助资金</w:t>
            </w:r>
          </w:p>
        </w:tc>
        <w:tc>
          <w:tcPr>
            <w:tcW w:w="3261" w:type="pct"/>
            <w:gridSpan w:val="10"/>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1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1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55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一级指标</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二级指标</w:t>
            </w:r>
          </w:p>
        </w:tc>
        <w:tc>
          <w:tcPr>
            <w:tcW w:w="5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三级指标</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年度指标值</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实际值完成值</w:t>
            </w:r>
          </w:p>
        </w:tc>
        <w:tc>
          <w:tcPr>
            <w:tcW w:w="5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偏差度</w:t>
            </w:r>
          </w:p>
        </w:tc>
        <w:tc>
          <w:tcPr>
            <w:tcW w:w="55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55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成本指标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经济成本指标</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总成本</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≤1558.05万元</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1558.05万元</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lang w:val="en-US" w:eastAsia="zh-CN"/>
              </w:rPr>
              <w:t>20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5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产出指标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数量指标</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年度目标帮扶就业人员任务</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≥730人</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730人</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5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质量指标</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补助发放到位率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30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30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5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时效指标</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补贴发放及时性</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效益指标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社会效益指标</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提高劳动者就业创业能力</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保障</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5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满意度指标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帮扶对象满意度指标</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受训人员满意度</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≥92%</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92%</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2776"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总分</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96.96</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19"/>
        <w:gridCol w:w="1328"/>
        <w:gridCol w:w="1815"/>
        <w:gridCol w:w="861"/>
        <w:gridCol w:w="685"/>
        <w:gridCol w:w="1718"/>
        <w:gridCol w:w="1486"/>
        <w:gridCol w:w="976"/>
        <w:gridCol w:w="918"/>
        <w:gridCol w:w="1297"/>
        <w:gridCol w:w="1012"/>
        <w:gridCol w:w="7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1572" w:type="pct"/>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部门（单位）名称</w:t>
            </w:r>
          </w:p>
        </w:tc>
        <w:tc>
          <w:tcPr>
            <w:tcW w:w="3427" w:type="pct"/>
            <w:gridSpan w:val="9"/>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郸城县人力资源和社会保障局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464"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部门整体支出情况(万元)</w:t>
            </w:r>
          </w:p>
        </w:tc>
        <w:tc>
          <w:tcPr>
            <w:tcW w:w="11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c>
          <w:tcPr>
            <w:tcW w:w="5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年初预算数</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全年预算数</w:t>
            </w:r>
          </w:p>
        </w:tc>
        <w:tc>
          <w:tcPr>
            <w:tcW w:w="8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全年执行数</w:t>
            </w:r>
          </w:p>
        </w:tc>
        <w:tc>
          <w:tcPr>
            <w:tcW w:w="7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执行率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46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10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部门预算总额</w:t>
            </w:r>
          </w:p>
        </w:tc>
        <w:tc>
          <w:tcPr>
            <w:tcW w:w="5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25838.26</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7132.65</w:t>
            </w:r>
          </w:p>
        </w:tc>
        <w:tc>
          <w:tcPr>
            <w:tcW w:w="8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7132.65</w:t>
            </w:r>
          </w:p>
        </w:tc>
        <w:tc>
          <w:tcPr>
            <w:tcW w:w="7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80.68 %</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10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资金来源：（1）财政拨款</w:t>
            </w:r>
          </w:p>
        </w:tc>
        <w:tc>
          <w:tcPr>
            <w:tcW w:w="5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25838.26</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7132.65</w:t>
            </w:r>
          </w:p>
        </w:tc>
        <w:tc>
          <w:tcPr>
            <w:tcW w:w="8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7132.65</w:t>
            </w:r>
          </w:p>
        </w:tc>
        <w:tc>
          <w:tcPr>
            <w:tcW w:w="7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81.52 %</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10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（2）财政专户管理资金</w:t>
            </w:r>
          </w:p>
        </w:tc>
        <w:tc>
          <w:tcPr>
            <w:tcW w:w="5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8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7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10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Style w:val="20"/>
                <w:sz w:val="18"/>
                <w:szCs w:val="18"/>
                <w:highlight w:val="none"/>
                <w:lang w:val="en-US" w:eastAsia="zh-CN" w:bidi="ar"/>
              </w:rPr>
              <w:t xml:space="preserve">  </w:t>
            </w:r>
            <w:r>
              <w:rPr>
                <w:rFonts w:hint="eastAsia" w:ascii="宋体" w:hAnsi="宋体" w:eastAsia="宋体" w:cs="宋体"/>
                <w:i w:val="0"/>
                <w:iCs w:val="0"/>
                <w:color w:val="000000"/>
                <w:kern w:val="0"/>
                <w:sz w:val="18"/>
                <w:szCs w:val="18"/>
                <w:highlight w:val="none"/>
                <w:u w:val="none"/>
                <w:lang w:val="en-US" w:eastAsia="zh-CN" w:bidi="ar"/>
              </w:rPr>
              <w:t>（3）单位资金</w:t>
            </w:r>
          </w:p>
        </w:tc>
        <w:tc>
          <w:tcPr>
            <w:tcW w:w="5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8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7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21.61 %</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46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年度履职目标</w:t>
            </w:r>
          </w:p>
        </w:tc>
        <w:tc>
          <w:tcPr>
            <w:tcW w:w="2258"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预期目标</w:t>
            </w:r>
          </w:p>
        </w:tc>
        <w:tc>
          <w:tcPr>
            <w:tcW w:w="2276"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9"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2258" w:type="pct"/>
            <w:gridSpan w:val="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有效推进社会保障、人才人事、劳动关系、人社扶贫工作。2.达到落实全县人力资源市场发展规划和人力资源流动政策，推动建立统一开放争有序的人力资源市场体系。3.有效完善公共就业创业服务体系，成功建立全县面向城乡劳动者的职业技能培训制度。</w:t>
            </w:r>
          </w:p>
        </w:tc>
        <w:tc>
          <w:tcPr>
            <w:tcW w:w="2276" w:type="pct"/>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已实现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93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任务名称</w:t>
            </w:r>
          </w:p>
        </w:tc>
        <w:tc>
          <w:tcPr>
            <w:tcW w:w="179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主要内容</w:t>
            </w:r>
          </w:p>
        </w:tc>
        <w:tc>
          <w:tcPr>
            <w:tcW w:w="2276"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93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1.抓重点群体就业确保就业稳定</w:t>
            </w:r>
          </w:p>
        </w:tc>
        <w:tc>
          <w:tcPr>
            <w:tcW w:w="1790"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1.深入实施就业优先政策，稳住新增就业规模和失业率指标。</w:t>
            </w:r>
          </w:p>
        </w:tc>
        <w:tc>
          <w:tcPr>
            <w:tcW w:w="227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17" w:hRule="atLeast"/>
        </w:trPr>
        <w:tc>
          <w:tcPr>
            <w:tcW w:w="93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2.深化社会保险制度改革</w:t>
            </w:r>
          </w:p>
        </w:tc>
        <w:tc>
          <w:tcPr>
            <w:tcW w:w="1790"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2.推进社保制度可持续性发展，切实保障群众基本生活。城镇企业在职职工基本保险参保人数分别达到稳步增长，社会保障卡制卡人数达到基本全覆盖。</w:t>
            </w:r>
          </w:p>
        </w:tc>
        <w:tc>
          <w:tcPr>
            <w:tcW w:w="227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93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3.加强人才人事工作</w:t>
            </w:r>
          </w:p>
        </w:tc>
        <w:tc>
          <w:tcPr>
            <w:tcW w:w="1790"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3.有效调动积极性，促进人才创新创造活力充分释放。</w:t>
            </w:r>
          </w:p>
        </w:tc>
        <w:tc>
          <w:tcPr>
            <w:tcW w:w="227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一级指标</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二级指标</w:t>
            </w: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三级指标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年度指标值</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实际完成值</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偏差度</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投入管理指标</w:t>
            </w:r>
          </w:p>
        </w:tc>
        <w:tc>
          <w:tcPr>
            <w:tcW w:w="4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工作目标管理</w:t>
            </w: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年度履职目标相关性</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相关</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工作任务科学性</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科学</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绩效指标合理性</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合理</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预算和财务管理</w:t>
            </w: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预算编制完整性</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完整</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专项资金细化率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预算调整率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83.54%</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1570.80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预算调整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结转结余率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“三公经费”控制率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政府采购执行率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决算真实性</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真实</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资金使用合规性</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合规</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管理制度健全性</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健全</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预决算信息公开性</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公开</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资产管理规范性</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规范</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绩效管理</w:t>
            </w: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绩效目标编制完成率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绩效监控完成率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绩效自评完成率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部门绩效评价完成率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评价结果应用率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产出指标</w:t>
            </w:r>
          </w:p>
        </w:tc>
        <w:tc>
          <w:tcPr>
            <w:tcW w:w="4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重点工作任务完成</w:t>
            </w: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重点工作任务1完成率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重点工作任务2完成率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重点工作任务3完成率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履职目标实现</w:t>
            </w: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履职目标1实现率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履职目标2实现率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履职目标3实现率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效益指标</w:t>
            </w:r>
          </w:p>
        </w:tc>
        <w:tc>
          <w:tcPr>
            <w:tcW w:w="4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履职效益</w:t>
            </w: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提高农村劳动力专业技能</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提高</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保障退休人员工资发放</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保障</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提高失业人员再就业率</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提高</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trPr>
        <w:tc>
          <w:tcPr>
            <w:tcW w:w="4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满意度</w:t>
            </w:r>
          </w:p>
        </w:tc>
        <w:tc>
          <w:tcPr>
            <w:tcW w:w="94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xml:space="preserve"> 群众满意度</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9" w:hRule="atLeast"/>
        </w:trPr>
        <w:tc>
          <w:tcPr>
            <w:tcW w:w="324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总分</w:t>
            </w:r>
          </w:p>
        </w:tc>
        <w:tc>
          <w:tcPr>
            <w:tcW w:w="3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96.96</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0"/>
          <w:sz w:val="32"/>
          <w:szCs w:val="32"/>
          <w:lang w:val="en-US" w:eastAsia="zh-CN"/>
        </w:rPr>
        <w:t>我部门2024年度未开展预算项目重点绩效评价，财政部门也未选取我部门2024年度预算项目开展财政重点评价。</w:t>
      </w:r>
    </w:p>
    <w:p>
      <w:pPr>
        <w:keepNext w:val="0"/>
        <w:keepLines w:val="0"/>
        <w:pageBreakBefore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88"/>
    <w:family w:val="modern"/>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A97779"/>
    <w:rsid w:val="390267FF"/>
    <w:rsid w:val="9BE4921C"/>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basedOn w:val="4"/>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 w:type="character" w:customStyle="1" w:styleId="22">
    <w:name w:val="font3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39</Pages>
  <Words>1006</Words>
  <Characters>1015</Characters>
  <Lines>1</Lines>
  <Paragraphs>1</Paragraphs>
  <TotalTime>11</TotalTime>
  <ScaleCrop>false</ScaleCrop>
  <LinksUpToDate>false</LinksUpToDate>
  <CharactersWithSpaces>1047</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2025-12-07T10:13:41Z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eyJoZGlkIjoiOWM0ZmU5MjU2NjMwMTllNzVkOGRkYTFiODZkMjkyYWUiLCJ1c2VySWQiOiIzOTYyNTIyMjUifQ==</vt:lpwstr>
  </property>
  <property fmtid="{D5CDD505-2E9C-101B-9397-08002B2CF9AE}" pid="4" name="ICV">
    <vt:lpwstr>6C5B857F2EC041ECAF512EF60CFCE560_13</vt:lpwstr>
  </property>
</Properties>
</file>