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郸城县秋渠乡卫生院部门决算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郸城县秋渠乡卫生院概况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郸城县秋渠乡卫生院概况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秋渠乡卫生院内设机构22个，包括：卫生院设有预防保健科、全科医疗科、内科、外科、妇产科、妇女保健科、传染科、急诊医学科、医学检验科、医学影像科、中医科、办公室、财务科、医保科、信息科、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从决算单位构成看，郸城县秋渠乡卫生院单位决算无独立核算的下属单位。本级决算为单位决算。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1,457.88</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0.11</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1,622.91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1,622.91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1,622.91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8"/>
        <w:gridCol w:w="2322"/>
        <w:gridCol w:w="895"/>
        <w:gridCol w:w="745"/>
        <w:gridCol w:w="820"/>
        <w:gridCol w:w="893"/>
        <w:gridCol w:w="747"/>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95"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45"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93"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747"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22"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893" w:type="dxa"/>
            <w:vMerge w:val="continue"/>
            <w:vAlign w:val="center"/>
          </w:tcPr>
          <w:p>
            <w:pPr>
              <w:rPr>
                <w:sz w:val="18"/>
                <w:szCs w:val="18"/>
              </w:rPr>
            </w:pPr>
          </w:p>
        </w:tc>
        <w:tc>
          <w:tcPr>
            <w:tcW w:w="747"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Merge w:val="continue"/>
            <w:vAlign w:val="center"/>
          </w:tcPr>
          <w:p>
            <w:pPr>
              <w:rPr>
                <w:sz w:val="18"/>
                <w:szCs w:val="18"/>
              </w:rPr>
            </w:pPr>
          </w:p>
        </w:tc>
        <w:tc>
          <w:tcPr>
            <w:tcW w:w="2322" w:type="dxa"/>
            <w:vMerge w:val="continue"/>
            <w:vAlign w:val="center"/>
          </w:tcPr>
          <w:p>
            <w:pPr>
              <w:rPr>
                <w:sz w:val="18"/>
                <w:szCs w:val="18"/>
              </w:rPr>
            </w:pP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893" w:type="dxa"/>
            <w:vMerge w:val="continue"/>
            <w:vAlign w:val="center"/>
          </w:tcPr>
          <w:p>
            <w:pPr>
              <w:rPr>
                <w:sz w:val="18"/>
                <w:szCs w:val="18"/>
              </w:rPr>
            </w:pPr>
          </w:p>
        </w:tc>
        <w:tc>
          <w:tcPr>
            <w:tcW w:w="747"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Merge w:val="continue"/>
            <w:vAlign w:val="center"/>
          </w:tcPr>
          <w:p>
            <w:pPr>
              <w:rPr>
                <w:sz w:val="18"/>
                <w:szCs w:val="18"/>
              </w:rPr>
            </w:pPr>
          </w:p>
        </w:tc>
        <w:tc>
          <w:tcPr>
            <w:tcW w:w="2322" w:type="dxa"/>
            <w:vMerge w:val="continue"/>
            <w:vAlign w:val="center"/>
          </w:tcPr>
          <w:p>
            <w:pPr>
              <w:rPr>
                <w:sz w:val="18"/>
                <w:szCs w:val="18"/>
              </w:rPr>
            </w:pPr>
          </w:p>
        </w:tc>
        <w:tc>
          <w:tcPr>
            <w:tcW w:w="895" w:type="dxa"/>
            <w:vMerge w:val="continue"/>
            <w:vAlign w:val="center"/>
          </w:tcPr>
          <w:p>
            <w:pPr>
              <w:rPr>
                <w:sz w:val="18"/>
                <w:szCs w:val="18"/>
              </w:rPr>
            </w:pPr>
          </w:p>
        </w:tc>
        <w:tc>
          <w:tcPr>
            <w:tcW w:w="745" w:type="dxa"/>
            <w:vMerge w:val="continue"/>
            <w:vAlign w:val="center"/>
          </w:tcPr>
          <w:p>
            <w:pPr>
              <w:rPr>
                <w:sz w:val="18"/>
                <w:szCs w:val="18"/>
              </w:rPr>
            </w:pPr>
          </w:p>
        </w:tc>
        <w:tc>
          <w:tcPr>
            <w:tcW w:w="820" w:type="dxa"/>
            <w:vMerge w:val="continue"/>
            <w:vAlign w:val="center"/>
          </w:tcPr>
          <w:p>
            <w:pPr>
              <w:rPr>
                <w:sz w:val="18"/>
                <w:szCs w:val="18"/>
              </w:rPr>
            </w:pPr>
          </w:p>
        </w:tc>
        <w:tc>
          <w:tcPr>
            <w:tcW w:w="893" w:type="dxa"/>
            <w:vMerge w:val="continue"/>
            <w:vAlign w:val="center"/>
          </w:tcPr>
          <w:p>
            <w:pPr>
              <w:rPr>
                <w:sz w:val="18"/>
                <w:szCs w:val="18"/>
              </w:rPr>
            </w:pPr>
          </w:p>
        </w:tc>
        <w:tc>
          <w:tcPr>
            <w:tcW w:w="747"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95"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45"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93"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747"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1,457.88</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22"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1,457.88</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322"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322"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22"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1,593.15</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135.15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1,457.88</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22"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1,588.94</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130.94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1,457.88</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8"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22"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895"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745"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4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22"/>
        <w:gridCol w:w="2758"/>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58"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Merge w:val="continue"/>
            <w:vAlign w:val="center"/>
          </w:tcPr>
          <w:p>
            <w:pPr>
              <w:rPr>
                <w:sz w:val="18"/>
                <w:szCs w:val="18"/>
              </w:rPr>
            </w:pPr>
          </w:p>
        </w:tc>
        <w:tc>
          <w:tcPr>
            <w:tcW w:w="2758"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Merge w:val="continue"/>
            <w:vAlign w:val="center"/>
          </w:tcPr>
          <w:p>
            <w:pPr>
              <w:rPr>
                <w:sz w:val="18"/>
                <w:szCs w:val="18"/>
              </w:rPr>
            </w:pPr>
          </w:p>
        </w:tc>
        <w:tc>
          <w:tcPr>
            <w:tcW w:w="2758"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58"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1,622.91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58"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58"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58"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1,593.15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1,593.15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58"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1,588.94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1,588.94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58"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22"/>
        <w:gridCol w:w="500"/>
        <w:gridCol w:w="1118"/>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22"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50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118"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22" w:type="dxa"/>
            <w:vMerge w:val="continue"/>
            <w:vAlign w:val="center"/>
          </w:tcPr>
          <w:p>
            <w:pPr>
              <w:rPr>
                <w:sz w:val="18"/>
                <w:szCs w:val="18"/>
              </w:rPr>
            </w:pPr>
          </w:p>
        </w:tc>
        <w:tc>
          <w:tcPr>
            <w:tcW w:w="500" w:type="dxa"/>
            <w:vMerge w:val="continue"/>
            <w:vAlign w:val="center"/>
          </w:tcPr>
          <w:p>
            <w:pPr>
              <w:rPr>
                <w:sz w:val="18"/>
                <w:szCs w:val="18"/>
              </w:rPr>
            </w:pPr>
          </w:p>
        </w:tc>
        <w:tc>
          <w:tcPr>
            <w:tcW w:w="1118"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22"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00" w:type="dxa"/>
            <w:vAlign w:val="center"/>
          </w:tcPr>
          <w:p>
            <w:pPr>
              <w:rPr>
                <w:sz w:val="18"/>
                <w:szCs w:val="18"/>
              </w:rPr>
            </w:pPr>
          </w:p>
        </w:tc>
        <w:tc>
          <w:tcPr>
            <w:tcW w:w="1118"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2822"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22"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22"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2822"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22"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22" w:type="dxa"/>
            <w:vAlign w:val="center"/>
          </w:tcPr>
          <w:p>
            <w:pPr>
              <w:rPr>
                <w:sz w:val="18"/>
                <w:szCs w:val="18"/>
              </w:rPr>
            </w:pPr>
          </w:p>
        </w:tc>
        <w:tc>
          <w:tcPr>
            <w:tcW w:w="500"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11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22" w:type="dxa"/>
            <w:vAlign w:val="center"/>
          </w:tcPr>
          <w:p>
            <w:pPr>
              <w:rPr>
                <w:sz w:val="18"/>
                <w:szCs w:val="18"/>
              </w:rPr>
            </w:pPr>
          </w:p>
        </w:tc>
        <w:tc>
          <w:tcPr>
            <w:tcW w:w="500"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11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22" w:type="dxa"/>
            <w:vAlign w:val="center"/>
          </w:tcPr>
          <w:p>
            <w:pPr>
              <w:rPr>
                <w:sz w:val="18"/>
                <w:szCs w:val="18"/>
              </w:rPr>
            </w:pPr>
          </w:p>
        </w:tc>
        <w:tc>
          <w:tcPr>
            <w:tcW w:w="500"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118"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2822"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00"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118"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164.91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29.76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135.15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135.15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130.94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130.94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160.70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75.04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4.21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85.65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2"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160.70</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4.21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单位：郸城县秋渠乡卫生院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1622.91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与上年度相比，收、支总计各减少187.31万元，下降10.35%，主要原因是：2024年度业务活动减少，单位总体收支减少。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1622.91</w:t>
      </w:r>
      <w:r>
        <w:rPr>
          <w:rFonts w:hint="eastAsia" w:ascii="仿宋_GB2312" w:hAnsi="仿宋_GB2312" w:eastAsia="仿宋_GB2312" w:cs="仿宋_GB2312"/>
          <w:sz w:val="32"/>
          <w:szCs w:val="32"/>
          <w:lang w:val="en-US" w:eastAsia="zh-CN"/>
        </w:rPr>
        <w:t>万元，其中：财政拨款收入164.91万元，占10.16%;事业收入1457.88万元，占89.83%;其他收入0.11万元，占0.01%。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1622.91</w:t>
      </w:r>
      <w:r>
        <w:rPr>
          <w:rFonts w:hint="eastAsia" w:ascii="仿宋_GB2312" w:hAnsi="仿宋_GB2312" w:eastAsia="仿宋_GB2312" w:cs="仿宋_GB2312"/>
          <w:sz w:val="32"/>
          <w:szCs w:val="32"/>
          <w:lang w:val="en-US" w:eastAsia="zh-CN"/>
        </w:rPr>
        <w:t>万元，其中：基本支出1622.91万元，占100.00%。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164.91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与上年度相比，财政拨款收、支总计各减少365.37万元，下降68.90%，主要原因是：2024年度业务活动减少，单位总体收支减少。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2024年度一般公共预算财政拨款支出164.91万元，占支出合计的10.16%。与上年度相比，一般公共预算财政拨款支出减少365.37万元，下降68.90%，主要原因是：2024年度业务活动减少，单位总体收支减少。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年度一般公共预算财政拨款支出164.91万元，主要用于以下方面：卫生健康（类）支出164.91万元，占100.00%。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34.30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164.91</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480.78</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29.76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，完成年初预算的480.78%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之前年度指标于本年支出，本年支出总体增加。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27.23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130.94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，完成年初预算的480.78%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之前年度指标于本年支出，本年支出总体增加。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0.88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4.21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，完成年初预算的480.78%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之前年度指标于本年支出，本年支出总体增加。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164.91</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160.70</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4.21</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2辆，其中：省级领导干部用车0辆、主要领导干部用车0辆、机要通信用车0辆、应急保障车0辆、执法执勤用车0辆、特种专业技术用车2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郸城县卫生健康卫生院</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56FF4F"/>
    <w:multiLevelType w:val="singleLevel"/>
    <w:tmpl w:val="DF56FF4F"/>
    <w:lvl w:ilvl="0" w:tentative="0">
      <w:start w:val="4"/>
      <w:numFmt w:val="chineseCounting"/>
      <w:suff w:val="space"/>
      <w:lvlText w:val="第%1部分"/>
      <w:lvlJc w:val="left"/>
      <w:rPr>
        <w:rFonts w:hint="eastAsia"/>
      </w:rPr>
    </w:lvl>
  </w:abstractNum>
  <w:abstractNum w:abstractNumId="1">
    <w:nsid w:val="0053208E"/>
    <w:multiLevelType w:val="singleLevel"/>
    <w:tmpl w:val="0053208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095E2C31"/>
    <w:rsid w:val="8FA7FB30"/>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7321</Words>
  <Characters>9523</Characters>
  <Lines>70</Lines>
  <Paragraphs>19</Paragraphs>
  <TotalTime>0</TotalTime>
  <ScaleCrop>false</ScaleCrop>
  <LinksUpToDate>false</LinksUpToDate>
  <CharactersWithSpaces>10027</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2025-12-07T09:57:31Z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