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郸城县南丰镇卫生院单位决算</w:t>
      </w:r>
    </w:p>
    <w:p>
      <w:pPr>
        <w:keepNext w:val="0"/>
        <w:keepLines w:val="0"/>
        <w:pageBreakBefore w:val="0"/>
        <w:kinsoku/>
        <w:wordWrap/>
        <w:overflowPunct/>
        <w:topLinePunct w:val="0"/>
        <w:autoSpaceDE/>
        <w:autoSpaceDN/>
        <w:bidi w:val="0"/>
        <w:adjustRightInd/>
        <w:jc w:val="center"/>
        <w:rPr>
          <w:rFonts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overflowPunct/>
        <w:topLinePunct w:val="0"/>
        <w:autoSpaceDE/>
        <w:autoSpaceDN/>
        <w:bidi w:val="0"/>
        <w:adjustRightInd/>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overflowPunct/>
        <w:topLinePunct w:val="0"/>
        <w:autoSpaceDE/>
        <w:autoSpaceDN/>
        <w:bidi w:val="0"/>
        <w:adjustRightInd/>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郸城县南丰镇卫生院概况</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郸城县南丰镇卫生院概况</w:t>
      </w:r>
    </w:p>
    <w:p>
      <w:pPr>
        <w:keepNext w:val="0"/>
        <w:keepLines w:val="0"/>
        <w:pageBreakBefore w:val="0"/>
        <w:widowControl/>
        <w:kinsoku/>
        <w:wordWrap/>
        <w:overflowPunct/>
        <w:topLinePunct w:val="0"/>
        <w:autoSpaceDE/>
        <w:autoSpaceDN/>
        <w:bidi w:val="0"/>
        <w:adjustRightInd/>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overflowPunct/>
        <w:topLinePunct w:val="0"/>
        <w:autoSpaceDE/>
        <w:autoSpaceDN/>
        <w:bidi w:val="0"/>
        <w:adjustRightInd/>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郸城县南丰镇卫生院为人民健康提供医疗和预防保健服务。医疗常见病和多发病的护理、恢复期病人康复治疗与护理、预防保健、卫生技术人员培训、卫生监督、卫生信息管理、疫情防控健康扶贫等。</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overflowPunct/>
        <w:topLinePunct w:val="0"/>
        <w:autoSpaceDE/>
        <w:autoSpaceDN/>
        <w:bidi w:val="0"/>
        <w:adjustRightInd/>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南丰镇卫生院内设机构22个，包括：卫生院设有预防保健科、全科医疗科、内科、外科、妇产科、妇女保健科、传染科、急诊医学科、医学检验科、医学影像科、中医科、办公室、财务科、医保科、信息科、有药剂科、护理科、公共卫生科、扶贫办公室、供应室、被服室、手术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从决算单位构成看，郸城县南丰镇卫生院单位决算无独立核算的下属单位。本级决算为单位决算。</w:t>
      </w:r>
    </w:p>
    <w:p>
      <w:pPr>
        <w:keepNext w:val="0"/>
        <w:keepLines w:val="0"/>
        <w:pageBreakBefore w:val="0"/>
        <w:widowControl/>
        <w:kinsoku/>
        <w:wordWrap/>
        <w:overflowPunct/>
        <w:topLinePunct w:val="0"/>
        <w:autoSpaceDE/>
        <w:autoSpaceDN/>
        <w:bidi w:val="0"/>
        <w:adjustRightInd/>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单位：郸城县南丰镇卫生院</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412"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keepNext w:val="0"/>
              <w:keepLines w:val="0"/>
              <w:pageBreakBefore w:val="0"/>
              <w:kinsoku/>
              <w:wordWrap/>
              <w:overflowPunct/>
              <w:topLinePunct w:val="0"/>
              <w:autoSpaceDE/>
              <w:autoSpaceDN/>
              <w:bidi w:val="0"/>
              <w:adjustRightInd/>
              <w:rPr>
                <w:sz w:val="18"/>
                <w:szCs w:val="18"/>
              </w:rPr>
            </w:pPr>
          </w:p>
        </w:tc>
        <w:tc>
          <w:tcPr>
            <w:tcW w:w="2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keepNext w:val="0"/>
              <w:keepLines w:val="0"/>
              <w:pageBreakBefore w:val="0"/>
              <w:kinsoku/>
              <w:wordWrap/>
              <w:overflowPunct/>
              <w:topLinePunct w:val="0"/>
              <w:autoSpaceDE/>
              <w:autoSpaceDN/>
              <w:bidi w:val="0"/>
              <w:adjustRightInd/>
              <w:rPr>
                <w:sz w:val="18"/>
                <w:szCs w:val="18"/>
              </w:rPr>
            </w:pPr>
          </w:p>
        </w:tc>
        <w:tc>
          <w:tcPr>
            <w:tcW w:w="248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1,355.22</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0.17</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单位：郸城县南丰镇卫生院</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3524"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13"/>
        <w:gridCol w:w="2347"/>
        <w:gridCol w:w="903"/>
        <w:gridCol w:w="737"/>
        <w:gridCol w:w="820"/>
        <w:gridCol w:w="910"/>
        <w:gridCol w:w="73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903"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本年收入合计</w:t>
            </w:r>
          </w:p>
        </w:tc>
        <w:tc>
          <w:tcPr>
            <w:tcW w:w="737"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上级补助收入</w:t>
            </w:r>
          </w:p>
        </w:tc>
        <w:tc>
          <w:tcPr>
            <w:tcW w:w="91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事业收入</w:t>
            </w:r>
          </w:p>
        </w:tc>
        <w:tc>
          <w:tcPr>
            <w:tcW w:w="73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功能分类</w:t>
            </w:r>
          </w:p>
          <w:p>
            <w:pPr>
              <w:keepNext w:val="0"/>
              <w:keepLines w:val="0"/>
              <w:pageBreakBefore w:val="0"/>
              <w:shd w:val="clear" w:color="auto" w:fill="auto"/>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科目编码</w:t>
            </w:r>
          </w:p>
        </w:tc>
        <w:tc>
          <w:tcPr>
            <w:tcW w:w="2347"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903"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737"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1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73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69"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347"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3"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737"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1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73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69"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347"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3"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737"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1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73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69"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903"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737"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91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73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903"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737"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1,355.22</w:t>
            </w:r>
          </w:p>
        </w:tc>
        <w:tc>
          <w:tcPr>
            <w:tcW w:w="73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0.17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w:t>
            </w:r>
          </w:p>
        </w:tc>
        <w:tc>
          <w:tcPr>
            <w:tcW w:w="2347"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卫生健康支出</w:t>
            </w:r>
          </w:p>
        </w:tc>
        <w:tc>
          <w:tcPr>
            <w:tcW w:w="903"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737"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1,355.22</w:t>
            </w:r>
          </w:p>
        </w:tc>
        <w:tc>
          <w:tcPr>
            <w:tcW w:w="73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0.17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21003</w:t>
            </w:r>
          </w:p>
        </w:tc>
        <w:tc>
          <w:tcPr>
            <w:tcW w:w="2347"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基层医疗卫生机构</w:t>
            </w:r>
          </w:p>
        </w:tc>
        <w:tc>
          <w:tcPr>
            <w:tcW w:w="903"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737"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1,355.22</w:t>
            </w:r>
          </w:p>
        </w:tc>
        <w:tc>
          <w:tcPr>
            <w:tcW w:w="73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0.17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2100302</w:t>
            </w:r>
          </w:p>
        </w:tc>
        <w:tc>
          <w:tcPr>
            <w:tcW w:w="2347"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乡镇卫生院</w:t>
            </w:r>
          </w:p>
        </w:tc>
        <w:tc>
          <w:tcPr>
            <w:tcW w:w="903"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1,460.53</w:t>
            </w:r>
          </w:p>
        </w:tc>
        <w:tc>
          <w:tcPr>
            <w:tcW w:w="737"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105.14</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1,355.22</w:t>
            </w:r>
          </w:p>
        </w:tc>
        <w:tc>
          <w:tcPr>
            <w:tcW w:w="73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0.17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2100399</w:t>
            </w:r>
          </w:p>
        </w:tc>
        <w:tc>
          <w:tcPr>
            <w:tcW w:w="2347"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其他基层医疗卫生机构支出</w:t>
            </w:r>
          </w:p>
        </w:tc>
        <w:tc>
          <w:tcPr>
            <w:tcW w:w="903"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4.54</w:t>
            </w:r>
          </w:p>
        </w:tc>
        <w:tc>
          <w:tcPr>
            <w:tcW w:w="737"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4.54</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73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单位：郸城县南丰镇卫生院</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3513"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38"/>
        <w:gridCol w:w="2742"/>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功能分类</w:t>
            </w:r>
          </w:p>
          <w:p>
            <w:pPr>
              <w:keepNext w:val="0"/>
              <w:keepLines w:val="0"/>
              <w:pageBreakBefore w:val="0"/>
              <w:shd w:val="clear" w:color="auto" w:fill="auto"/>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科目编码</w:t>
            </w:r>
          </w:p>
        </w:tc>
        <w:tc>
          <w:tcPr>
            <w:tcW w:w="2742"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4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742"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4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742"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4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w:t>
            </w:r>
          </w:p>
        </w:tc>
        <w:tc>
          <w:tcPr>
            <w:tcW w:w="274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21003</w:t>
            </w:r>
          </w:p>
        </w:tc>
        <w:tc>
          <w:tcPr>
            <w:tcW w:w="274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1,465.07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2100302</w:t>
            </w:r>
          </w:p>
        </w:tc>
        <w:tc>
          <w:tcPr>
            <w:tcW w:w="274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乡镇卫生院</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1,460.53</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1,460.53</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2100399</w:t>
            </w:r>
          </w:p>
        </w:tc>
        <w:tc>
          <w:tcPr>
            <w:tcW w:w="274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4.54</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4.54</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单位：郸城县南丰镇卫生院</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412"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914"/>
        <w:gridCol w:w="492"/>
        <w:gridCol w:w="1034"/>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金额</w:t>
            </w:r>
          </w:p>
        </w:tc>
        <w:tc>
          <w:tcPr>
            <w:tcW w:w="2914"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492"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行次</w:t>
            </w:r>
          </w:p>
        </w:tc>
        <w:tc>
          <w:tcPr>
            <w:tcW w:w="1034"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4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914"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492"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034"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44"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291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492" w:type="dxa"/>
            <w:vAlign w:val="center"/>
          </w:tcPr>
          <w:p>
            <w:pPr>
              <w:keepNext w:val="0"/>
              <w:keepLines w:val="0"/>
              <w:pageBreakBefore w:val="0"/>
              <w:kinsoku/>
              <w:wordWrap/>
              <w:overflowPunct/>
              <w:topLinePunct w:val="0"/>
              <w:autoSpaceDE/>
              <w:autoSpaceDN/>
              <w:bidi w:val="0"/>
              <w:adjustRightInd/>
              <w:rPr>
                <w:sz w:val="18"/>
                <w:szCs w:val="18"/>
              </w:rPr>
            </w:pPr>
          </w:p>
        </w:tc>
        <w:tc>
          <w:tcPr>
            <w:tcW w:w="103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一、一般公共服务支出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33</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二、外交支出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34</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三、国防支出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35</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四、公共安全支出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36</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五、教育支出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37</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六、科学技术支出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38</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七、文化旅游体育与传媒支出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39</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八、社会保障和就业支出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40</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九、卫生健康支出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41</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十、节能环保支出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42</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十一、城乡社区支出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43</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十二、农林水支出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44</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十三、交通运输支出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45</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十四、资源勘探工业信息等支出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46</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十五、商业服务业等支出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47</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十六、金融支出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48</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十七、援助其他地区支出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49</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十八、自然资源海洋气象等支出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50</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十九、住房保障支出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51</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二十、粮油物资储备支出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52</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二十一、国有资本经营预算支出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53</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二十二、灾害防治及应急管理支出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54</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二十三、其他支出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55</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二十四、债务还本支出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56</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二十五、债务付息支出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57</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二十六、抗疫特别国债安排的支出</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58</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291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本年支出合计</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59</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年末财政拨款结转和结余</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60</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keepNext w:val="0"/>
              <w:keepLines w:val="0"/>
              <w:pageBreakBefore w:val="0"/>
              <w:kinsoku/>
              <w:wordWrap/>
              <w:overflowPunct/>
              <w:topLinePunct w:val="0"/>
              <w:autoSpaceDE/>
              <w:autoSpaceDN/>
              <w:bidi w:val="0"/>
              <w:adjustRightInd/>
              <w:rPr>
                <w:sz w:val="18"/>
                <w:szCs w:val="18"/>
              </w:rPr>
            </w:pP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61</w:t>
            </w:r>
          </w:p>
        </w:tc>
        <w:tc>
          <w:tcPr>
            <w:tcW w:w="1034"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4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keepNext w:val="0"/>
              <w:keepLines w:val="0"/>
              <w:pageBreakBefore w:val="0"/>
              <w:kinsoku/>
              <w:wordWrap/>
              <w:overflowPunct/>
              <w:topLinePunct w:val="0"/>
              <w:autoSpaceDE/>
              <w:autoSpaceDN/>
              <w:bidi w:val="0"/>
              <w:adjustRightInd/>
              <w:rPr>
                <w:sz w:val="18"/>
                <w:szCs w:val="18"/>
              </w:rPr>
            </w:pP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62</w:t>
            </w:r>
          </w:p>
        </w:tc>
        <w:tc>
          <w:tcPr>
            <w:tcW w:w="1034"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4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keepNext w:val="0"/>
              <w:keepLines w:val="0"/>
              <w:pageBreakBefore w:val="0"/>
              <w:kinsoku/>
              <w:wordWrap/>
              <w:overflowPunct/>
              <w:topLinePunct w:val="0"/>
              <w:autoSpaceDE/>
              <w:autoSpaceDN/>
              <w:bidi w:val="0"/>
              <w:adjustRightInd/>
              <w:rPr>
                <w:sz w:val="18"/>
                <w:szCs w:val="18"/>
              </w:rPr>
            </w:pP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63</w:t>
            </w:r>
          </w:p>
        </w:tc>
        <w:tc>
          <w:tcPr>
            <w:tcW w:w="1034"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4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291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总计</w:t>
            </w:r>
          </w:p>
        </w:tc>
        <w:tc>
          <w:tcPr>
            <w:tcW w:w="49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64</w:t>
            </w:r>
          </w:p>
        </w:tc>
        <w:tc>
          <w:tcPr>
            <w:tcW w:w="103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单位：郸城县南丰镇卫生院</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3513"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功能分类</w:t>
            </w:r>
          </w:p>
          <w:p>
            <w:pPr>
              <w:keepNext w:val="0"/>
              <w:keepLines w:val="0"/>
              <w:pageBreakBefore w:val="0"/>
              <w:shd w:val="clear" w:color="auto" w:fill="auto"/>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37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2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37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2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109.68</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2100302</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乡镇卫生院</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105.14</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105.14</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4.54</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4.54</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单位：郸城县南丰镇卫生院</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412"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7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64"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105.14</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4.54</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105.14</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4.54</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2"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8"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rPr>
                <w:sz w:val="18"/>
                <w:szCs w:val="18"/>
              </w:rPr>
            </w:pPr>
          </w:p>
        </w:tc>
        <w:tc>
          <w:tcPr>
            <w:tcW w:w="2780" w:type="dxa"/>
            <w:vAlign w:val="center"/>
          </w:tcPr>
          <w:p>
            <w:pPr>
              <w:keepNext w:val="0"/>
              <w:keepLines w:val="0"/>
              <w:pageBreakBefore w:val="0"/>
              <w:kinsoku/>
              <w:wordWrap/>
              <w:overflowPunct/>
              <w:topLinePunct w:val="0"/>
              <w:autoSpaceDE/>
              <w:autoSpaceDN/>
              <w:bidi w:val="0"/>
              <w:adjustRightInd/>
              <w:rPr>
                <w:sz w:val="18"/>
                <w:szCs w:val="18"/>
              </w:rPr>
            </w:pP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rPr>
                <w:sz w:val="18"/>
                <w:szCs w:val="18"/>
              </w:rPr>
            </w:pPr>
          </w:p>
        </w:tc>
        <w:tc>
          <w:tcPr>
            <w:tcW w:w="2380" w:type="dxa"/>
            <w:vAlign w:val="center"/>
          </w:tcPr>
          <w:p>
            <w:pPr>
              <w:keepNext w:val="0"/>
              <w:keepLines w:val="0"/>
              <w:pageBreakBefore w:val="0"/>
              <w:kinsoku/>
              <w:wordWrap/>
              <w:overflowPunct/>
              <w:topLinePunct w:val="0"/>
              <w:autoSpaceDE/>
              <w:autoSpaceDN/>
              <w:bidi w:val="0"/>
              <w:adjustRightInd/>
              <w:rPr>
                <w:sz w:val="18"/>
                <w:szCs w:val="18"/>
              </w:rPr>
            </w:pP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keepNext w:val="0"/>
              <w:keepLines w:val="0"/>
              <w:pageBreakBefore w:val="0"/>
              <w:kinsoku/>
              <w:wordWrap/>
              <w:overflowPunct/>
              <w:topLinePunct w:val="0"/>
              <w:autoSpaceDE/>
              <w:autoSpaceDN/>
              <w:bidi w:val="0"/>
              <w:adjustRightInd/>
              <w:rPr>
                <w:sz w:val="18"/>
                <w:szCs w:val="18"/>
              </w:rPr>
            </w:pPr>
          </w:p>
        </w:tc>
        <w:tc>
          <w:tcPr>
            <w:tcW w:w="2780" w:type="dxa"/>
            <w:vAlign w:val="center"/>
          </w:tcPr>
          <w:p>
            <w:pPr>
              <w:keepNext w:val="0"/>
              <w:keepLines w:val="0"/>
              <w:pageBreakBefore w:val="0"/>
              <w:kinsoku/>
              <w:wordWrap/>
              <w:overflowPunct/>
              <w:topLinePunct w:val="0"/>
              <w:autoSpaceDE/>
              <w:autoSpaceDN/>
              <w:bidi w:val="0"/>
              <w:adjustRightInd/>
              <w:rPr>
                <w:sz w:val="18"/>
                <w:szCs w:val="18"/>
              </w:rPr>
            </w:pP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105.14</w:t>
            </w:r>
          </w:p>
        </w:tc>
        <w:tc>
          <w:tcPr>
            <w:tcW w:w="7720" w:type="dxa"/>
            <w:gridSpan w:val="5"/>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4.54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overflowPunct/>
        <w:topLinePunct w:val="0"/>
        <w:autoSpaceDE/>
        <w:autoSpaceDN/>
        <w:bidi w:val="0"/>
        <w:adjustRightInd/>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单位：郸城县南丰镇卫生院</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979"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功能分类</w:t>
            </w:r>
          </w:p>
          <w:p>
            <w:pPr>
              <w:keepNext w:val="0"/>
              <w:keepLines w:val="0"/>
              <w:pageBreakBefore w:val="0"/>
              <w:shd w:val="clear" w:color="auto" w:fill="auto"/>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4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4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58"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keepNext w:val="0"/>
              <w:keepLines w:val="0"/>
              <w:pageBreakBefore w:val="0"/>
              <w:kinsoku/>
              <w:wordWrap/>
              <w:overflowPunct/>
              <w:topLinePunct w:val="0"/>
              <w:autoSpaceDE/>
              <w:autoSpaceDN/>
              <w:bidi w:val="0"/>
              <w:adjustRightInd/>
              <w:rPr>
                <w:sz w:val="18"/>
                <w:szCs w:val="18"/>
              </w:rPr>
            </w:pPr>
          </w:p>
        </w:tc>
        <w:tc>
          <w:tcPr>
            <w:tcW w:w="4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58"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单位：郸城县南丰镇卫生院</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979"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55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55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keepNext w:val="0"/>
              <w:keepLines w:val="0"/>
              <w:pageBreakBefore w:val="0"/>
              <w:kinsoku/>
              <w:wordWrap/>
              <w:overflowPunct/>
              <w:topLinePunct w:val="0"/>
              <w:autoSpaceDE/>
              <w:autoSpaceDN/>
              <w:bidi w:val="0"/>
              <w:adjustRightInd/>
              <w:rPr>
                <w:sz w:val="18"/>
                <w:szCs w:val="18"/>
              </w:rPr>
            </w:pPr>
          </w:p>
        </w:tc>
        <w:tc>
          <w:tcPr>
            <w:tcW w:w="5580" w:type="dxa"/>
            <w:vAlign w:val="center"/>
          </w:tcPr>
          <w:p>
            <w:pPr>
              <w:keepNext w:val="0"/>
              <w:keepLines w:val="0"/>
              <w:pageBreakBefore w:val="0"/>
              <w:kinsoku/>
              <w:wordWrap/>
              <w:overflowPunct/>
              <w:topLinePunct w:val="0"/>
              <w:autoSpaceDE/>
              <w:autoSpaceDN/>
              <w:bidi w:val="0"/>
              <w:adjustRightInd/>
              <w:rPr>
                <w:sz w:val="18"/>
                <w:szCs w:val="18"/>
              </w:rPr>
            </w:pPr>
          </w:p>
        </w:tc>
        <w:tc>
          <w:tcPr>
            <w:tcW w:w="2180" w:type="dxa"/>
            <w:vAlign w:val="center"/>
          </w:tcPr>
          <w:p>
            <w:pPr>
              <w:keepNext w:val="0"/>
              <w:keepLines w:val="0"/>
              <w:pageBreakBefore w:val="0"/>
              <w:kinsoku/>
              <w:wordWrap/>
              <w:overflowPunct/>
              <w:topLinePunct w:val="0"/>
              <w:autoSpaceDE/>
              <w:autoSpaceDN/>
              <w:bidi w:val="0"/>
              <w:adjustRightInd/>
              <w:rPr>
                <w:sz w:val="18"/>
                <w:szCs w:val="18"/>
              </w:rPr>
            </w:pPr>
          </w:p>
        </w:tc>
        <w:tc>
          <w:tcPr>
            <w:tcW w:w="2180" w:type="dxa"/>
            <w:vAlign w:val="center"/>
          </w:tcPr>
          <w:p>
            <w:pPr>
              <w:keepNext w:val="0"/>
              <w:keepLines w:val="0"/>
              <w:pageBreakBefore w:val="0"/>
              <w:kinsoku/>
              <w:wordWrap/>
              <w:overflowPunct/>
              <w:topLinePunct w:val="0"/>
              <w:autoSpaceDE/>
              <w:autoSpaceDN/>
              <w:bidi w:val="0"/>
              <w:adjustRightInd/>
              <w:rPr>
                <w:sz w:val="18"/>
                <w:szCs w:val="18"/>
              </w:rPr>
            </w:pPr>
          </w:p>
        </w:tc>
        <w:tc>
          <w:tcPr>
            <w:tcW w:w="2158"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 xml:space="preserve">说明：我单位没有使用国有资本经营预算安排的支出，故本表无数据。 </w:t>
      </w: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单位：郸城县南丰镇卫生院</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979"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overflowPunct/>
        <w:topLinePunct w:val="0"/>
        <w:autoSpaceDE/>
        <w:autoSpaceDN/>
        <w:bidi w:val="0"/>
        <w:adjustRightInd/>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overflowPunct/>
        <w:topLinePunct w:val="0"/>
        <w:autoSpaceDE/>
        <w:autoSpaceDN/>
        <w:bidi w:val="0"/>
        <w:adjustRightInd/>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overflowPunct/>
        <w:topLinePunct w:val="0"/>
        <w:autoSpaceDE/>
        <w:autoSpaceDN/>
        <w:bidi w:val="0"/>
        <w:adjustRightInd/>
        <w:jc w:val="both"/>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1465.07</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与上年度相比，收、支总计各增加27.34万元，增长1.90%，主要原因是：2024年度业务活动增多，事业收入增加。</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1465.07</w:t>
      </w:r>
      <w:r>
        <w:rPr>
          <w:rFonts w:hint="eastAsia" w:ascii="仿宋_GB2312" w:hAnsi="仿宋_GB2312" w:eastAsia="仿宋_GB2312" w:cs="仿宋_GB2312"/>
          <w:sz w:val="32"/>
          <w:szCs w:val="32"/>
          <w:lang w:val="en-US" w:eastAsia="zh-CN"/>
        </w:rPr>
        <w:t>万元，其中：财政拨款收入109.68万元，占7.49%;事业收入1355.22万元，占92.50%;其他收入0.17万元，占0.01%。</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1465.07</w:t>
      </w:r>
      <w:r>
        <w:rPr>
          <w:rFonts w:hint="eastAsia" w:ascii="仿宋_GB2312" w:hAnsi="仿宋_GB2312" w:eastAsia="仿宋_GB2312" w:cs="仿宋_GB2312"/>
          <w:sz w:val="32"/>
          <w:szCs w:val="32"/>
          <w:lang w:val="en-US" w:eastAsia="zh-CN"/>
        </w:rPr>
        <w:t>万元，其中：基本支出1465.07万元，占100.00%。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109.68</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与上年度相比，财政拨款收、支总计各减少367.33万元，下降77.01%，主要原因是：2024年度我单位人员减少，人员经费支出减少。</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2024年度一般公共预算财政拨款支出109.68万元，占支出合计的7.49%。与上年度相比，一般公共预算财政拨款支出减少367.33万元，下降77.01%，主要原因是：2024年度我单位人员减少，人员经费支出减少。</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年度一般公共预算财政拨款支出109.68万元，主要用于以下方面：卫生健康（类）支出109.68万元，占100.00%。</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178.36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109.68</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61.49</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170.98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105.14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，完成年初预算的61.49%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本年我单位该项资金未清算，本年支出减少。</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4.54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，完成年初预算的61.49%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本年我单位该项资金未清算，本年支出减少。</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109.68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105.14</w:t>
      </w:r>
      <w:r>
        <w:rPr>
          <w:rFonts w:hint="eastAsia" w:ascii="仿宋_GB2312" w:hAnsi="仿宋_GB2312" w:eastAsia="仿宋_GB2312" w:cs="仿宋_GB2312"/>
          <w:sz w:val="32"/>
          <w:szCs w:val="32"/>
          <w:lang w:val="en-US" w:eastAsia="zh-CN"/>
        </w:rPr>
        <w:t>万元，主要包括：基本工资；公用经费</w:t>
      </w:r>
      <w:r>
        <w:rPr>
          <w:rFonts w:hint="eastAsia" w:ascii="仿宋_GB2312" w:hAnsi="Times New Roman" w:eastAsia="仿宋_GB2312"/>
          <w:sz w:val="32"/>
          <w:szCs w:val="32"/>
          <w:lang w:val="en-US" w:eastAsia="zh-CN"/>
        </w:rPr>
        <w:t>4.54</w:t>
      </w:r>
      <w:r>
        <w:rPr>
          <w:rFonts w:hint="eastAsia" w:ascii="仿宋_GB2312" w:hAnsi="仿宋_GB2312" w:eastAsia="仿宋_GB2312" w:cs="仿宋_GB2312"/>
          <w:sz w:val="32"/>
          <w:szCs w:val="32"/>
          <w:lang w:val="en-US" w:eastAsia="zh-CN"/>
        </w:rPr>
        <w:t>万元，主要包括：办公费。</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1辆，其中：省级领导干部用车0辆、主要领导干部用车0辆、机要通信用车0辆、应急保障车0辆、执法执勤用车0辆、特种专业技术用车1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2024年单位无项目支出，未开展绩效管理工作。</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2024年单位无项目支出，未开展绩效管理工作。</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郸城县卫生健康委员会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numPr>
          <w:ilvl w:val="0"/>
          <w:numId w:val="2"/>
        </w:numPr>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FF2882"/>
    <w:multiLevelType w:val="singleLevel"/>
    <w:tmpl w:val="FEFF2882"/>
    <w:lvl w:ilvl="0" w:tentative="0">
      <w:start w:val="4"/>
      <w:numFmt w:val="chineseCounting"/>
      <w:suff w:val="space"/>
      <w:lvlText w:val="第%1部分"/>
      <w:lvlJc w:val="left"/>
      <w:rPr>
        <w:rFonts w:hint="eastAsia"/>
      </w:rPr>
    </w:lvl>
  </w:abstractNum>
  <w:abstractNum w:abstractNumId="1">
    <w:nsid w:val="0053208E"/>
    <w:multiLevelType w:val="singleLevel"/>
    <w:tmpl w:val="0053208E"/>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6BFF0398"/>
    <w:rsid w:val="770630B9"/>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7120</Words>
  <Characters>9165</Characters>
  <Lines>70</Lines>
  <Paragraphs>19</Paragraphs>
  <TotalTime>2</TotalTime>
  <ScaleCrop>false</ScaleCrop>
  <LinksUpToDate>false</LinksUpToDate>
  <CharactersWithSpaces>9650</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2025-12-07T09:42:55Z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