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郸城县李楼乡卫生院部门决算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郸城县李楼乡卫生院概况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郸城县李楼乡卫生院概况</w:t>
      </w: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郸城县李楼乡卫生院为人民健康提供医疗和预防保健服务。医疗常见病和多发病的护理、恢复期病人康复治疗与护理、预防保健、卫生技术人员培训、卫生监督、卫生信息管理、疫情防控健康扶贫等。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李楼乡卫生院内设机构22个，包括：卫生院设有预防保健科、全科医疗科、内科、外科、妇产科、妇女保健科、传染科、急诊医学科、医学检验科、医学影像科、中医科等。后勤科室有办公室、财务科、医保科、信息科等。其他科室设置有药剂科、护理科、公共卫生科、扶贫办公室、供应室、被服室、手术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从决算单位构成看，郸城县李楼乡卫生院单位决算无独立核算的下属单位。本级决算为单位决算。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单位：郸城县李楼乡卫生院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1,673.75</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0.13</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1,816.34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1,816.34</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1,816.34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1,816.34</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1,816.34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sz w:val="18"/>
                <w:szCs w:val="18"/>
              </w:rPr>
            </w:pPr>
            <w:r>
              <w:rPr>
                <w:rFonts w:ascii="宋体" w:hAnsi="宋体" w:eastAsia="宋体" w:cs="宋体"/>
                <w:sz w:val="18"/>
                <w:szCs w:val="18"/>
              </w:rPr>
              <w:t>单位：郸城县李楼乡卫生院</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88"/>
        <w:gridCol w:w="2372"/>
        <w:gridCol w:w="895"/>
        <w:gridCol w:w="745"/>
        <w:gridCol w:w="820"/>
        <w:gridCol w:w="943"/>
        <w:gridCol w:w="697"/>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895"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745"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943"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697"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72"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895" w:type="dxa"/>
            <w:vMerge w:val="continue"/>
            <w:vAlign w:val="center"/>
          </w:tcPr>
          <w:p>
            <w:pPr>
              <w:rPr>
                <w:sz w:val="18"/>
                <w:szCs w:val="18"/>
              </w:rPr>
            </w:pPr>
          </w:p>
        </w:tc>
        <w:tc>
          <w:tcPr>
            <w:tcW w:w="745" w:type="dxa"/>
            <w:vMerge w:val="continue"/>
            <w:vAlign w:val="center"/>
          </w:tcPr>
          <w:p>
            <w:pPr>
              <w:rPr>
                <w:sz w:val="18"/>
                <w:szCs w:val="18"/>
              </w:rPr>
            </w:pPr>
          </w:p>
        </w:tc>
        <w:tc>
          <w:tcPr>
            <w:tcW w:w="820" w:type="dxa"/>
            <w:vMerge w:val="continue"/>
            <w:vAlign w:val="center"/>
          </w:tcPr>
          <w:p>
            <w:pPr>
              <w:rPr>
                <w:sz w:val="18"/>
                <w:szCs w:val="18"/>
              </w:rPr>
            </w:pPr>
          </w:p>
        </w:tc>
        <w:tc>
          <w:tcPr>
            <w:tcW w:w="943" w:type="dxa"/>
            <w:vMerge w:val="continue"/>
            <w:vAlign w:val="center"/>
          </w:tcPr>
          <w:p>
            <w:pPr>
              <w:rPr>
                <w:sz w:val="18"/>
                <w:szCs w:val="18"/>
              </w:rPr>
            </w:pPr>
          </w:p>
        </w:tc>
        <w:tc>
          <w:tcPr>
            <w:tcW w:w="697"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Merge w:val="continue"/>
            <w:vAlign w:val="center"/>
          </w:tcPr>
          <w:p>
            <w:pPr>
              <w:rPr>
                <w:sz w:val="18"/>
                <w:szCs w:val="18"/>
              </w:rPr>
            </w:pPr>
          </w:p>
        </w:tc>
        <w:tc>
          <w:tcPr>
            <w:tcW w:w="2372" w:type="dxa"/>
            <w:vMerge w:val="continue"/>
            <w:vAlign w:val="center"/>
          </w:tcPr>
          <w:p>
            <w:pPr>
              <w:rPr>
                <w:sz w:val="18"/>
                <w:szCs w:val="18"/>
              </w:rPr>
            </w:pPr>
          </w:p>
        </w:tc>
        <w:tc>
          <w:tcPr>
            <w:tcW w:w="895" w:type="dxa"/>
            <w:vMerge w:val="continue"/>
            <w:vAlign w:val="center"/>
          </w:tcPr>
          <w:p>
            <w:pPr>
              <w:rPr>
                <w:sz w:val="18"/>
                <w:szCs w:val="18"/>
              </w:rPr>
            </w:pPr>
          </w:p>
        </w:tc>
        <w:tc>
          <w:tcPr>
            <w:tcW w:w="745" w:type="dxa"/>
            <w:vMerge w:val="continue"/>
            <w:vAlign w:val="center"/>
          </w:tcPr>
          <w:p>
            <w:pPr>
              <w:rPr>
                <w:sz w:val="18"/>
                <w:szCs w:val="18"/>
              </w:rPr>
            </w:pPr>
          </w:p>
        </w:tc>
        <w:tc>
          <w:tcPr>
            <w:tcW w:w="820" w:type="dxa"/>
            <w:vMerge w:val="continue"/>
            <w:vAlign w:val="center"/>
          </w:tcPr>
          <w:p>
            <w:pPr>
              <w:rPr>
                <w:sz w:val="18"/>
                <w:szCs w:val="18"/>
              </w:rPr>
            </w:pPr>
          </w:p>
        </w:tc>
        <w:tc>
          <w:tcPr>
            <w:tcW w:w="943" w:type="dxa"/>
            <w:vMerge w:val="continue"/>
            <w:vAlign w:val="center"/>
          </w:tcPr>
          <w:p>
            <w:pPr>
              <w:rPr>
                <w:sz w:val="18"/>
                <w:szCs w:val="18"/>
              </w:rPr>
            </w:pPr>
          </w:p>
        </w:tc>
        <w:tc>
          <w:tcPr>
            <w:tcW w:w="697"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Merge w:val="continue"/>
            <w:vAlign w:val="center"/>
          </w:tcPr>
          <w:p>
            <w:pPr>
              <w:rPr>
                <w:sz w:val="18"/>
                <w:szCs w:val="18"/>
              </w:rPr>
            </w:pPr>
          </w:p>
        </w:tc>
        <w:tc>
          <w:tcPr>
            <w:tcW w:w="2372" w:type="dxa"/>
            <w:vMerge w:val="continue"/>
            <w:vAlign w:val="center"/>
          </w:tcPr>
          <w:p>
            <w:pPr>
              <w:rPr>
                <w:sz w:val="18"/>
                <w:szCs w:val="18"/>
              </w:rPr>
            </w:pPr>
          </w:p>
        </w:tc>
        <w:tc>
          <w:tcPr>
            <w:tcW w:w="895" w:type="dxa"/>
            <w:vMerge w:val="continue"/>
            <w:vAlign w:val="center"/>
          </w:tcPr>
          <w:p>
            <w:pPr>
              <w:rPr>
                <w:sz w:val="18"/>
                <w:szCs w:val="18"/>
              </w:rPr>
            </w:pPr>
          </w:p>
        </w:tc>
        <w:tc>
          <w:tcPr>
            <w:tcW w:w="745" w:type="dxa"/>
            <w:vMerge w:val="continue"/>
            <w:vAlign w:val="center"/>
          </w:tcPr>
          <w:p>
            <w:pPr>
              <w:rPr>
                <w:sz w:val="18"/>
                <w:szCs w:val="18"/>
              </w:rPr>
            </w:pPr>
          </w:p>
        </w:tc>
        <w:tc>
          <w:tcPr>
            <w:tcW w:w="820" w:type="dxa"/>
            <w:vMerge w:val="continue"/>
            <w:vAlign w:val="center"/>
          </w:tcPr>
          <w:p>
            <w:pPr>
              <w:rPr>
                <w:sz w:val="18"/>
                <w:szCs w:val="18"/>
              </w:rPr>
            </w:pPr>
          </w:p>
        </w:tc>
        <w:tc>
          <w:tcPr>
            <w:tcW w:w="943" w:type="dxa"/>
            <w:vMerge w:val="continue"/>
            <w:vAlign w:val="center"/>
          </w:tcPr>
          <w:p>
            <w:pPr>
              <w:rPr>
                <w:sz w:val="18"/>
                <w:szCs w:val="18"/>
              </w:rPr>
            </w:pPr>
          </w:p>
        </w:tc>
        <w:tc>
          <w:tcPr>
            <w:tcW w:w="697"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895"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745"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43"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697"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1,816.34</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43" w:type="dxa"/>
            <w:vAlign w:val="center"/>
          </w:tcPr>
          <w:p>
            <w:pPr>
              <w:snapToGrid w:val="0"/>
              <w:jc w:val="right"/>
              <w:rPr>
                <w:sz w:val="18"/>
                <w:szCs w:val="18"/>
              </w:rPr>
            </w:pPr>
            <w:r>
              <w:rPr>
                <w:rFonts w:ascii="宋体" w:hAnsi="宋体" w:eastAsia="宋体" w:cs="宋体"/>
                <w:b w:val="0"/>
                <w:i w:val="0"/>
                <w:color w:val="000000"/>
                <w:sz w:val="18"/>
                <w:szCs w:val="18"/>
              </w:rPr>
              <w:t>1,673.75</w:t>
            </w:r>
          </w:p>
        </w:tc>
        <w:tc>
          <w:tcPr>
            <w:tcW w:w="69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1,816.34</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43" w:type="dxa"/>
            <w:vAlign w:val="center"/>
          </w:tcPr>
          <w:p>
            <w:pPr>
              <w:snapToGrid w:val="0"/>
              <w:jc w:val="right"/>
              <w:rPr>
                <w:sz w:val="18"/>
                <w:szCs w:val="18"/>
              </w:rPr>
            </w:pPr>
            <w:r>
              <w:rPr>
                <w:rFonts w:ascii="宋体" w:hAnsi="宋体" w:eastAsia="宋体" w:cs="宋体"/>
                <w:b w:val="0"/>
                <w:i w:val="0"/>
                <w:color w:val="000000"/>
                <w:sz w:val="18"/>
                <w:szCs w:val="18"/>
              </w:rPr>
              <w:t>1,673.75</w:t>
            </w:r>
          </w:p>
        </w:tc>
        <w:tc>
          <w:tcPr>
            <w:tcW w:w="69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9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9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1,796.34</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122.47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43" w:type="dxa"/>
            <w:vAlign w:val="center"/>
          </w:tcPr>
          <w:p>
            <w:pPr>
              <w:snapToGrid w:val="0"/>
              <w:jc w:val="right"/>
              <w:rPr>
                <w:sz w:val="18"/>
                <w:szCs w:val="18"/>
              </w:rPr>
            </w:pPr>
            <w:r>
              <w:rPr>
                <w:rFonts w:ascii="宋体" w:hAnsi="宋体" w:eastAsia="宋体" w:cs="宋体"/>
                <w:b w:val="0"/>
                <w:i w:val="0"/>
                <w:color w:val="000000"/>
                <w:sz w:val="18"/>
                <w:szCs w:val="18"/>
              </w:rPr>
              <w:t>1,673.75</w:t>
            </w:r>
          </w:p>
        </w:tc>
        <w:tc>
          <w:tcPr>
            <w:tcW w:w="69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1,788.93</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115.06</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43" w:type="dxa"/>
            <w:vAlign w:val="center"/>
          </w:tcPr>
          <w:p>
            <w:pPr>
              <w:snapToGrid w:val="0"/>
              <w:jc w:val="right"/>
              <w:rPr>
                <w:sz w:val="18"/>
                <w:szCs w:val="18"/>
              </w:rPr>
            </w:pPr>
            <w:r>
              <w:rPr>
                <w:rFonts w:ascii="宋体" w:hAnsi="宋体" w:eastAsia="宋体" w:cs="宋体"/>
                <w:b w:val="0"/>
                <w:i w:val="0"/>
                <w:color w:val="000000"/>
                <w:sz w:val="18"/>
                <w:szCs w:val="18"/>
              </w:rPr>
              <w:t>1,673.75</w:t>
            </w:r>
          </w:p>
        </w:tc>
        <w:tc>
          <w:tcPr>
            <w:tcW w:w="69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8"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372"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7.41</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7.41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9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单位：郸城县李楼乡卫生院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05"/>
        <w:gridCol w:w="2775"/>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5"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75"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5" w:type="dxa"/>
            <w:vMerge w:val="continue"/>
            <w:vAlign w:val="center"/>
          </w:tcPr>
          <w:p>
            <w:pPr>
              <w:rPr>
                <w:sz w:val="18"/>
                <w:szCs w:val="18"/>
              </w:rPr>
            </w:pPr>
          </w:p>
        </w:tc>
        <w:tc>
          <w:tcPr>
            <w:tcW w:w="2775"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5" w:type="dxa"/>
            <w:vMerge w:val="continue"/>
            <w:vAlign w:val="center"/>
          </w:tcPr>
          <w:p>
            <w:pPr>
              <w:rPr>
                <w:sz w:val="18"/>
                <w:szCs w:val="18"/>
              </w:rPr>
            </w:pPr>
          </w:p>
        </w:tc>
        <w:tc>
          <w:tcPr>
            <w:tcW w:w="2775"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1,816.34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1,816.34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75"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1,816.34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1,816.34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775"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775"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75"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1,796.34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1,796.34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775"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1,788.93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1,788.93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75"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7.41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7.41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单位：郸城县李楼乡卫生院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906"/>
        <w:gridCol w:w="533"/>
        <w:gridCol w:w="1001"/>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906"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533"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001"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906" w:type="dxa"/>
            <w:vMerge w:val="continue"/>
            <w:vAlign w:val="center"/>
          </w:tcPr>
          <w:p>
            <w:pPr>
              <w:rPr>
                <w:sz w:val="18"/>
                <w:szCs w:val="18"/>
              </w:rPr>
            </w:pPr>
          </w:p>
        </w:tc>
        <w:tc>
          <w:tcPr>
            <w:tcW w:w="533" w:type="dxa"/>
            <w:vMerge w:val="continue"/>
            <w:vAlign w:val="center"/>
          </w:tcPr>
          <w:p>
            <w:pPr>
              <w:rPr>
                <w:sz w:val="18"/>
                <w:szCs w:val="18"/>
              </w:rPr>
            </w:pPr>
          </w:p>
        </w:tc>
        <w:tc>
          <w:tcPr>
            <w:tcW w:w="1001"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906"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33" w:type="dxa"/>
            <w:vAlign w:val="center"/>
          </w:tcPr>
          <w:p>
            <w:pPr>
              <w:rPr>
                <w:sz w:val="18"/>
                <w:szCs w:val="18"/>
              </w:rPr>
            </w:pPr>
          </w:p>
        </w:tc>
        <w:tc>
          <w:tcPr>
            <w:tcW w:w="1001"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2906"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6"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6"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906"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2906"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6"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6" w:type="dxa"/>
            <w:vAlign w:val="center"/>
          </w:tcPr>
          <w:p>
            <w:pPr>
              <w:rPr>
                <w:sz w:val="18"/>
                <w:szCs w:val="18"/>
              </w:rPr>
            </w:pPr>
          </w:p>
        </w:tc>
        <w:tc>
          <w:tcPr>
            <w:tcW w:w="533"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001"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6" w:type="dxa"/>
            <w:vAlign w:val="center"/>
          </w:tcPr>
          <w:p>
            <w:pPr>
              <w:rPr>
                <w:sz w:val="18"/>
                <w:szCs w:val="18"/>
              </w:rPr>
            </w:pPr>
          </w:p>
        </w:tc>
        <w:tc>
          <w:tcPr>
            <w:tcW w:w="533"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001"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06" w:type="dxa"/>
            <w:vAlign w:val="center"/>
          </w:tcPr>
          <w:p>
            <w:pPr>
              <w:rPr>
                <w:sz w:val="18"/>
                <w:szCs w:val="18"/>
              </w:rPr>
            </w:pPr>
          </w:p>
        </w:tc>
        <w:tc>
          <w:tcPr>
            <w:tcW w:w="533"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001"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2906"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33"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001"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单位：郸城县李楼乡卫生院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142.47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122.47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122.47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115.06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115.06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7.41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7.41</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单位：郸城县李楼乡卫生院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122.47</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98.56</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23.91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90"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5"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122.47</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20.00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单位：郸城县李楼乡卫生院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单位：郸城县李楼乡卫生院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单位：郸城县李楼乡卫生院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1816.34</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与上年度相比，收、支总计各减少468.55万元，下降20.51%，主要原因是：本年度单位业务活动减少，事业收入减少，收支减少。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1816.34</w:t>
      </w:r>
      <w:r>
        <w:rPr>
          <w:rFonts w:hint="eastAsia" w:ascii="仿宋_GB2312" w:hAnsi="仿宋_GB2312" w:eastAsia="仿宋_GB2312" w:cs="仿宋_GB2312"/>
          <w:sz w:val="32"/>
          <w:szCs w:val="32"/>
          <w:lang w:val="en-US" w:eastAsia="zh-CN"/>
        </w:rPr>
        <w:t>万元，其中：财政拨款收入142.47万元，占7.84%;事业收入1673.75万元，占92.15%;其他收入0.13万元，占0.01%。</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1816.34</w:t>
      </w:r>
      <w:r>
        <w:rPr>
          <w:rFonts w:hint="eastAsia" w:ascii="仿宋_GB2312" w:hAnsi="仿宋_GB2312" w:eastAsia="仿宋_GB2312" w:cs="仿宋_GB2312"/>
          <w:sz w:val="32"/>
          <w:szCs w:val="32"/>
          <w:lang w:val="en-US" w:eastAsia="zh-CN"/>
        </w:rPr>
        <w:t>万元，其中：基本支出1816.34万元，占100.00%。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142.47</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与上年度相比，财政拨款收、支总计各减少365.71万元，下降71.96%，主要原因是：本年度单位业务活动减少，财政拨款减少，收支减少。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2024年度一般公共预算财政拨款支出142.47万元，占支出合计的7.84%。与上年度相比，一般公共预算财政拨款支出减少365.71万元，下降71.96%，主要原因是：本年度单位业务活动减少，财政拨款减少，收支减少。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年度一般公共预算财政拨款支出142.47万元，主要用于以下方面：卫生健康（类）支出142.47万元，占100.00%。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116.62</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142.47</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122.17</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卫生健康支出（类）卫生健康管理事务（款）其他卫生健康管理事务支出（项）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16.37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20.00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，完成年初预算的122.17%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之前年度指标未清算于本年支出，本年支出增加。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94.18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115.06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，完成年初预算的122.17%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之前年度指标未清算于本年支出，本年支出增加。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7.41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，完成年初预算的122.17%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之前年度指标未清算于本年支出，本年支出增加。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142.47</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122.47</w:t>
      </w:r>
      <w:r>
        <w:rPr>
          <w:rFonts w:hint="eastAsia" w:ascii="仿宋_GB2312" w:hAnsi="仿宋_GB2312" w:eastAsia="仿宋_GB2312" w:cs="仿宋_GB2312"/>
          <w:sz w:val="32"/>
          <w:szCs w:val="32"/>
          <w:lang w:val="en-US" w:eastAsia="zh-CN"/>
        </w:rPr>
        <w:t>万元，主要包括：基本工资、绩效工资；公用经费</w:t>
      </w:r>
      <w:r>
        <w:rPr>
          <w:rFonts w:hint="eastAsia" w:ascii="仿宋_GB2312" w:hAnsi="Times New Roman" w:eastAsia="仿宋_GB2312"/>
          <w:sz w:val="32"/>
          <w:szCs w:val="32"/>
          <w:lang w:val="en-US" w:eastAsia="zh-CN"/>
        </w:rPr>
        <w:t>20.00</w:t>
      </w:r>
      <w:r>
        <w:rPr>
          <w:rFonts w:hint="eastAsia" w:ascii="仿宋_GB2312" w:hAnsi="仿宋_GB2312" w:eastAsia="仿宋_GB2312" w:cs="仿宋_GB2312"/>
          <w:sz w:val="32"/>
          <w:szCs w:val="32"/>
          <w:lang w:val="en-US" w:eastAsia="zh-CN"/>
        </w:rPr>
        <w:t>万元，主要包括：办公费、专用材料费。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1辆，其中：省级领导干部用车0辆、主要领导干部用车0辆、机要通信用车0辆、应急保障车0辆、执法执勤用车0辆、特种专业技术用车1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2024年单位无项目支出，未开展绩效管理工作。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2024年单位无项目支出，未开展绩效管理工作。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郸城县卫生健康委员会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9F3105"/>
    <w:multiLevelType w:val="singleLevel"/>
    <w:tmpl w:val="BF9F3105"/>
    <w:lvl w:ilvl="0" w:tentative="0">
      <w:start w:val="4"/>
      <w:numFmt w:val="chineseCounting"/>
      <w:suff w:val="space"/>
      <w:lvlText w:val="第%1部分"/>
      <w:lvlJc w:val="left"/>
      <w:rPr>
        <w:rFonts w:hint="eastAsia"/>
      </w:rPr>
    </w:lvl>
  </w:abstractNum>
  <w:abstractNum w:abstractNumId="1">
    <w:nsid w:val="0053208E"/>
    <w:multiLevelType w:val="singleLevel"/>
    <w:tmpl w:val="0053208E"/>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3FFFEE20"/>
    <w:rsid w:val="570A5A5C"/>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7367</Words>
  <Characters>9564</Characters>
  <Lines>70</Lines>
  <Paragraphs>19</Paragraphs>
  <TotalTime>0</TotalTime>
  <ScaleCrop>false</ScaleCrop>
  <LinksUpToDate>false</LinksUpToDate>
  <CharactersWithSpaces>10068</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2025-12-07T10:03:36Z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