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2024年度</w:t>
      </w: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郸城县洺南街道办事处部门决算</w:t>
      </w:r>
    </w:p>
    <w:p>
      <w:pPr>
        <w:keepNext w:val="0"/>
        <w:keepLines w:val="0"/>
        <w:pageBreakBefore w:val="0"/>
        <w:kinsoku/>
        <w:wordWrap w:val="0"/>
        <w:overflowPunct/>
        <w:topLinePunct w:val="0"/>
        <w:autoSpaceDE/>
        <w:autoSpaceDN/>
        <w:bidi w:val="0"/>
        <w:jc w:val="center"/>
        <w:rPr>
          <w:rFonts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ascii="黑体" w:hAnsi="黑体" w:eastAsia="黑体" w:cs="黑体"/>
          <w:sz w:val="32"/>
          <w:szCs w:val="32"/>
          <w:lang w:val="en-US" w:eastAsia="zh-CN"/>
        </w:rPr>
      </w:pPr>
      <w:r>
        <w:rPr>
          <w:rFonts w:hint="eastAsia" w:ascii="黑体" w:hAnsi="黑体" w:eastAsia="黑体" w:cs="黑体"/>
          <w:sz w:val="32"/>
          <w:szCs w:val="32"/>
          <w:lang w:val="en-US" w:eastAsia="zh-CN"/>
        </w:rPr>
        <w:t>二〇二五年九月</w:t>
      </w:r>
    </w:p>
    <w:p>
      <w:pPr>
        <w:keepNext w:val="0"/>
        <w:keepLines w:val="0"/>
        <w:pageBreakBefore w:val="0"/>
        <w:kinsoku/>
        <w:wordWrap w:val="0"/>
        <w:overflowPunct/>
        <w:topLinePunct w:val="0"/>
        <w:autoSpaceDE/>
        <w:autoSpaceDN/>
        <w:bidi w:val="0"/>
        <w:jc w:val="both"/>
        <w:rPr>
          <w:rFonts w:hint="eastAsia" w:ascii="黑体" w:hAnsi="黑体" w:eastAsia="黑体" w:cs="黑体"/>
          <w:sz w:val="32"/>
          <w:szCs w:val="32"/>
          <w:lang w:val="en-US" w:eastAsia="zh-CN"/>
        </w:rPr>
        <w:sectPr>
          <w:pgSz w:w="11906" w:h="16838"/>
          <w:pgMar w:top="1440" w:right="1803" w:bottom="1440" w:left="1803" w:header="850" w:footer="992" w:gutter="0"/>
          <w:pgNumType w:fmt="numberInDash"/>
          <w:cols w:space="720" w:num="1"/>
          <w:docGrid w:type="lines" w:linePitch="317" w:charSpace="0"/>
        </w:sectPr>
      </w:pPr>
    </w:p>
    <w:p>
      <w:pPr>
        <w:keepNext w:val="0"/>
        <w:keepLines w:val="0"/>
        <w:pageBreakBefore w:val="0"/>
        <w:kinsoku/>
        <w:wordWrap w:val="0"/>
        <w:overflowPunct/>
        <w:topLinePunct w:val="0"/>
        <w:autoSpaceDE/>
        <w:autoSpaceDN/>
        <w:bidi w:val="0"/>
        <w:jc w:val="center"/>
        <w:rPr>
          <w:rFonts w:ascii="黑体" w:hAnsi="黑体" w:eastAsia="黑体" w:cs="黑体"/>
          <w:sz w:val="36"/>
          <w:szCs w:val="36"/>
          <w:lang w:val="en-US" w:eastAsia="zh-CN"/>
        </w:rPr>
      </w:pPr>
      <w:r>
        <w:rPr>
          <w:rFonts w:hint="eastAsia" w:ascii="黑体" w:hAnsi="黑体" w:eastAsia="黑体" w:cs="黑体"/>
          <w:sz w:val="36"/>
          <w:szCs w:val="36"/>
          <w:lang w:val="en-US" w:eastAsia="zh-CN"/>
        </w:rPr>
        <w:t xml:space="preserve">目 </w:t>
      </w:r>
      <w:r>
        <w:rPr>
          <w:rFonts w:ascii="黑体" w:hAnsi="黑体" w:eastAsia="黑体" w:cs="黑体"/>
          <w:sz w:val="36"/>
          <w:szCs w:val="36"/>
          <w:lang w:val="en-US" w:eastAsia="zh-CN"/>
        </w:rPr>
        <w:t xml:space="preserve"> </w:t>
      </w:r>
      <w:r>
        <w:rPr>
          <w:rFonts w:hint="eastAsia" w:ascii="黑体" w:hAnsi="黑体" w:eastAsia="黑体" w:cs="黑体"/>
          <w:sz w:val="36"/>
          <w:szCs w:val="36"/>
          <w:lang w:val="en-US" w:eastAsia="zh-CN"/>
        </w:rPr>
        <w:t>录</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第一部分  郸城县洺南街道办事处概况</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部门职责</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机构设置</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第二部分  2024年度部门决算表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一、收入支出决算总表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二、收入决算表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三、支出决算表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四、财政拨款收入支出决算总表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五、一般公共预算财政拨款支出决算表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六、一般公共预算财政拨款基本支出决算明细表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七、政府性基金预算财政拨款收入支出决算表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八、国有</w:t>
      </w:r>
      <w:r>
        <w:rPr>
          <w:rFonts w:ascii="宋体" w:hAnsi="宋体" w:cs="黑体"/>
          <w:sz w:val="32"/>
          <w:szCs w:val="32"/>
          <w:lang w:val="en-US" w:eastAsia="zh-CN"/>
        </w:rPr>
        <w:t>资本经营预算财政拨款</w:t>
      </w:r>
      <w:r>
        <w:rPr>
          <w:rFonts w:hint="eastAsia" w:ascii="宋体" w:hAnsi="宋体" w:cs="黑体"/>
          <w:sz w:val="32"/>
          <w:szCs w:val="32"/>
          <w:lang w:val="en-US" w:eastAsia="zh-CN"/>
        </w:rPr>
        <w:t>支出决算表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九、一般公共预算财政拨款“三公”经费支出决算表</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xml:space="preserve">第三部分  </w:t>
      </w:r>
      <w:r>
        <w:rPr>
          <w:rFonts w:ascii="黑体" w:hAnsi="黑体" w:eastAsia="黑体" w:cs="黑体"/>
          <w:sz w:val="32"/>
          <w:szCs w:val="32"/>
          <w:lang w:val="en-US" w:eastAsia="zh-CN"/>
        </w:rPr>
        <w:t>2024</w:t>
      </w:r>
      <w:r>
        <w:rPr>
          <w:rFonts w:hint="eastAsia" w:ascii="黑体" w:hAnsi="黑体" w:eastAsia="黑体" w:cs="黑体"/>
          <w:sz w:val="32"/>
          <w:szCs w:val="32"/>
          <w:lang w:val="en-US" w:eastAsia="zh-CN"/>
        </w:rPr>
        <w:t>年度</w:t>
      </w:r>
      <w:r>
        <w:rPr>
          <w:rFonts w:ascii="黑体" w:hAnsi="黑体" w:eastAsia="黑体" w:cs="黑体"/>
          <w:sz w:val="32"/>
          <w:szCs w:val="32"/>
          <w:lang w:val="en-US" w:eastAsia="zh-CN"/>
        </w:rPr>
        <w:t>部门</w:t>
      </w:r>
      <w:r>
        <w:rPr>
          <w:rFonts w:hint="eastAsia" w:ascii="黑体" w:hAnsi="黑体" w:eastAsia="黑体" w:cs="黑体"/>
          <w:sz w:val="32"/>
          <w:szCs w:val="32"/>
          <w:lang w:val="en-US" w:eastAsia="zh-CN"/>
        </w:rPr>
        <w:t>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一、收入支出决算总体情况说明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二、收入决算情况说明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三、支出决算情况说明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四、财政拨款收入支出决算总体情况说明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五、一般公共预算财政拨款支出决算情况说明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六、一般公共预算财政拨款基本支出决算情况说明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七、政府性基金预算财政拨款支出决算情况说明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八、国有资本</w:t>
      </w:r>
      <w:r>
        <w:rPr>
          <w:rFonts w:ascii="宋体" w:hAnsi="宋体" w:cs="宋体"/>
          <w:sz w:val="32"/>
          <w:szCs w:val="32"/>
          <w:lang w:val="en-US" w:eastAsia="zh-CN"/>
        </w:rPr>
        <w:t>经营</w:t>
      </w:r>
      <w:r>
        <w:rPr>
          <w:rFonts w:hint="eastAsia" w:ascii="宋体" w:hAnsi="宋体" w:cs="宋体"/>
          <w:sz w:val="32"/>
          <w:szCs w:val="32"/>
          <w:lang w:val="en-US" w:eastAsia="zh-CN"/>
        </w:rPr>
        <w:t>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九、一般公共预算财政拨款“三公”经费支出决算情况说明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十、机关运行经费支出情况说明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十一、政府采购支出情况说明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十二、国有资产占用情况说明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十三、预算绩效情况说明</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第四部分  名词解释</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sectPr>
          <w:footerReference r:id="rId3" w:type="default"/>
          <w:footerReference r:id="rId4" w:type="even"/>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第一部分  郸城县洺南街道办事处概况</w:t>
      </w: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一、部门职责</w:t>
      </w:r>
    </w:p>
    <w:p>
      <w:pPr>
        <w:keepNext w:val="0"/>
        <w:keepLines w:val="0"/>
        <w:pageBreakBefore w:val="0"/>
        <w:widowControl/>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郸城县洺南街道办事处党委是党的基层委员会,郸城县 洺南街道办事处人民政府是基层人民政府,围绕加强和改进基层党的建设、促进经济发展、强化公共服务、加强社会治 理、推进基层民主等方面依法全面履行职能。主要职责是:</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1.贯彻落实党的路线方针政策;执行国家法律法规和上级党委、政府及本级党代会,人民代表大会的决议、决定;制 定并组织实施辖区内有关管理规定;加强农村党组织建设和 基层政权建设,巩固党在农村的执政基础。</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2.落实基层党建工作责任制,加强党员队伍的思想建设、 组织建设、作风建设、制度建设和党风廉政建设;做好党员 的管理、发展工作,逐步改善党员队伍结构,提高党员素质, 发挥党员的先锋模范作用;指导工会、共青团、妇联等群团 工作。</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3.实施乡村振兴战略,做好新时代“三农 ”工作;负责扶 贫开发政策和强农惠农措施的贯彻落实;大力发展农村生产 力,推进土地制度改革,加大资金投入,强化人才支撑,促进 城乡融合发展,推进农业农村现代化。</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4.因地制宜发展区城特色经济,组织指导农业和农村经 济结构调整;加强农业综合生产能力建设,健全农业社会化 服务体系，完善农业支持保护体系;支持保护农民兴办各种经济组织,组织引导农村富余劳动力向非农产业和城镇转移,增加农民收入，不断提高人民生活水平。</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5.促进农村义务教育发展,推动农村公共卫生体系和基本医疗体系建设,组织开展群众文体活动等公共文化体育服务,做好防灾减灾、五保供养、优抚安置、低保、扶贫救济、 养老保险和其他社会救助工作;组织开展农村基础设施建设, 改善农民生产生活条件;推动以新型职业农民为主体的农村 实用人才队伍建设,促进城乡劳动者平等就业。</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6.依法开展社会治安综合治理、安全生产、公共安全、 卫生健康、生态环境、民族宗教和各类突发事件应急处理等 本行政区域的社会管理工作;调解民事纠纷、处理群体性突 发事件,及时化解农村社会矛盾,保证社会公正,维护社会秩 序和社会稳定。</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7.坚持依法行政，推进乡镇民主政治发展；指导村民自 治,推动农村社区建设,建立健全党组织领导下的村民自治 机制;推进村务、财务公开,保障农民群众民主权利,促进农 村社会组织健康发展,增强社会自治功能。</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8.负责县直职能部门派驻机构综合执法的指挥调度;负 责辖区内由多部门协同解决综合性事项的统筹协调和考核 督办;按权限管理县直职能部门派驻机构及其工作人员,对 派驻机构负责人任免和工作情况考核评价提出意见;统筹管 理下沉资金和人员;负责履行县政府赋予的县级社会经济管 理权限。</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9.完成县委、县政府交办的其他任务。</w:t>
      </w:r>
    </w:p>
    <w:p>
      <w:pPr>
        <w:keepNext w:val="0"/>
        <w:keepLines w:val="0"/>
        <w:pageBreakBefore w:val="0"/>
        <w:widowControl/>
        <w:kinsoku/>
        <w:wordWrap w:val="0"/>
        <w:overflowPunct/>
        <w:topLinePunct w:val="0"/>
        <w:autoSpaceDE/>
        <w:autoSpaceDN/>
        <w:bidi w:val="0"/>
        <w:ind w:firstLine="640" w:firstLineChars="200"/>
        <w:jc w:val="left"/>
        <w:outlineLvl w:val="1"/>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二、机构设置</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郸城县洺南街道办事处内设机构</w:t>
      </w:r>
      <w:r>
        <w:rPr>
          <w:rFonts w:hint="eastAsia" w:ascii="仿宋_GB2312" w:hAnsi="宋体" w:eastAsia="仿宋_GB2312" w:cs="Courier New"/>
          <w:kern w:val="0"/>
          <w:sz w:val="32"/>
          <w:szCs w:val="32"/>
          <w:lang w:val="en-US" w:eastAsia="zh-CN"/>
        </w:rPr>
        <w:t xml:space="preserve">    2</w:t>
      </w:r>
      <w:r>
        <w:rPr>
          <w:rFonts w:hint="eastAsia" w:ascii="仿宋" w:hAnsi="仿宋" w:eastAsia="仿宋" w:cs="仿宋"/>
          <w:kern w:val="0"/>
          <w:sz w:val="32"/>
          <w:szCs w:val="32"/>
          <w:lang w:val="en-US" w:eastAsia="zh-CN"/>
        </w:rPr>
        <w:t>个,包括：</w:t>
      </w:r>
      <w:r>
        <w:rPr>
          <w:rFonts w:hint="eastAsia" w:ascii="仿宋_GB2312" w:hAnsi="宋体" w:eastAsia="仿宋_GB2312" w:cs="Courier New"/>
          <w:kern w:val="0"/>
          <w:sz w:val="32"/>
          <w:szCs w:val="32"/>
          <w:lang w:val="en-US" w:eastAsia="zh-CN"/>
        </w:rPr>
        <w:t xml:space="preserve">    党政办公室、党建工作办公室。下属党政综合便民服务中心（挂社区服务中心牌子）、退役军人服务站（挂社会救助站牌子）、 综合行政执法队、社会治安综合治理中心、文化服务中心 5 个非独立预算单位。</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 xml:space="preserve">从决算单位构成看，郸城县洺南街道办事处部门决算为本级决算。  </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 xml:space="preserve"> 纳入本部门2024年度部门决算编制范围的单位共一个：</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郸城县洺南街道办事处本级，无二级决算单位。</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ascii="仿宋" w:hAnsi="仿宋" w:eastAsia="仿宋" w:cs="仿宋"/>
          <w:kern w:val="0"/>
          <w:sz w:val="32"/>
          <w:szCs w:val="32"/>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第二部分  2024年度部门决算表</w:t>
      </w: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2824"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公开01表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412"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部门：郸城县洺南街道办事处</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2024年度</w:t>
            </w:r>
          </w:p>
        </w:tc>
        <w:tc>
          <w:tcPr>
            <w:tcW w:w="5412"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3340"/>
        <w:gridCol w:w="580"/>
        <w:gridCol w:w="2500"/>
        <w:gridCol w:w="3340"/>
        <w:gridCol w:w="580"/>
        <w:gridCol w:w="248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642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收入</w:t>
            </w:r>
          </w:p>
        </w:tc>
        <w:tc>
          <w:tcPr>
            <w:tcW w:w="6404"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项目</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行次</w:t>
            </w:r>
          </w:p>
        </w:tc>
        <w:tc>
          <w:tcPr>
            <w:tcW w:w="25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金额</w:t>
            </w:r>
          </w:p>
        </w:tc>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项目</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行次</w:t>
            </w:r>
          </w:p>
        </w:tc>
        <w:tc>
          <w:tcPr>
            <w:tcW w:w="2484"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金额</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栏次</w:t>
            </w:r>
          </w:p>
        </w:tc>
        <w:tc>
          <w:tcPr>
            <w:tcW w:w="5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5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w:t>
            </w:r>
          </w:p>
        </w:tc>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栏次</w:t>
            </w:r>
          </w:p>
        </w:tc>
        <w:tc>
          <w:tcPr>
            <w:tcW w:w="5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484"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一、一般公共预算财政拨款收入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1,159.04</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一、一般公共服务支出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31</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797.06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二、政府性基金预算财政拨款收入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379.67</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二、外交支出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32</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三、国有资本经营预算财政拨款收入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三、国防支出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33</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四、上级补助收入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四、公共安全支出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34</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五、事业收入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五、教育支出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35</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六、经营收入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6</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六、科学技术支出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36</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七、附属单位上缴收入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7</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七、文化旅游体育与传媒支出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37</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八、其他收入</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8</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八、社会保障和就业支出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38</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50.02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9</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九、卫生健康支出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39</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47.03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10</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十、节能环保支出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40</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11</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十一、城乡社区支出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41</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379.67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12</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十二、农林水支出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42</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242.21</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13</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十三、交通运输支出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43</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14</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十四、资源勘探工业信息等支出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44</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15</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十五、商业服务业等支出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45</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16</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十六、金融支出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46</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17</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十七、援助其他地区支出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47</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18</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十八、自然资源海洋气象等支出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48</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19</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十九、住房保障支出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49</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22.72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20</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二十、粮油物资储备支出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50</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21</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二十一、国有资本经营预算支出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51</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22</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二十二、灾害防治及应急管理支出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52</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23</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二十三、其他支出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53</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24</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二十四、债务还本支出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54</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25</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二十五、债务付息支出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55</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26</w:t>
            </w:r>
          </w:p>
        </w:tc>
        <w:tc>
          <w:tcPr>
            <w:tcW w:w="25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二十六、抗疫特别国债安排的支出</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56</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本年收入合计</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27</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1,538.71</w:t>
            </w:r>
          </w:p>
        </w:tc>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本年支出合计</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57</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1,538.71</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使用非财政拨款结余（含专用结余）</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28</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结余分配</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58</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年初结转和结余</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29</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c>
          <w:tcPr>
            <w:tcW w:w="33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年末结转和结余</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59</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总计</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30</w:t>
            </w:r>
          </w:p>
        </w:tc>
        <w:tc>
          <w:tcPr>
            <w:tcW w:w="25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1,538.71</w:t>
            </w:r>
          </w:p>
        </w:tc>
        <w:tc>
          <w:tcPr>
            <w:tcW w:w="33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2"/>
                <w:szCs w:val="22"/>
                <w:lang w:val="en-US" w:eastAsia="zh-CN" w:bidi="ar-SA"/>
              </w:rPr>
              <w:t>总计</w:t>
            </w:r>
          </w:p>
        </w:tc>
        <w:tc>
          <w:tcPr>
            <w:tcW w:w="5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60</w:t>
            </w:r>
          </w:p>
        </w:tc>
        <w:tc>
          <w:tcPr>
            <w:tcW w:w="248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1,538.71</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0" w:hRule="exact"/>
          <w:jc w:val="center"/>
        </w:trPr>
        <w:tc>
          <w:tcPr>
            <w:tcW w:w="12824" w:type="dxa"/>
            <w:gridSpan w:val="6"/>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2"/>
                <w:szCs w:val="22"/>
                <w:lang w:val="en-US" w:eastAsia="zh-CN" w:bidi="ar-SA"/>
              </w:rPr>
              <w:t>注：本表反映本年度的总收支和年末结转结余情况。本表金额转换为万元时，因四舍五入可能存在尾差。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textAlignment w:val="auto"/>
        <w:rPr>
          <w:rFonts w:ascii="宋体" w:hAnsi="宋体" w:eastAsia="宋体" w:cs="宋体"/>
          <w:sz w:val="24"/>
          <w:szCs w:val="24"/>
          <w:lang w:val="en-US" w:eastAsia="zh-CN"/>
        </w:rPr>
      </w:pPr>
      <w:r>
        <w:rPr>
          <w:rFonts w:hint="eastAsia" w:ascii="华文中宋" w:hAnsi="华文中宋" w:eastAsia="华文中宋" w:cs="华文中宋"/>
          <w:color w:val="000000"/>
          <w:kern w:val="0"/>
          <w:sz w:val="32"/>
          <w:szCs w:val="32"/>
          <w:lang w:val="en-US" w:eastAsia="zh-CN"/>
        </w:rPr>
        <w:t>收入决算表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9026"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公开02表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3513"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部门：郸城县洺南街道办事处</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2024年度</w:t>
            </w:r>
          </w:p>
        </w:tc>
        <w:tc>
          <w:tcPr>
            <w:tcW w:w="3513"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780"/>
        <w:gridCol w:w="2480"/>
        <w:gridCol w:w="820"/>
        <w:gridCol w:w="820"/>
        <w:gridCol w:w="820"/>
        <w:gridCol w:w="820"/>
        <w:gridCol w:w="820"/>
        <w:gridCol w:w="820"/>
        <w:gridCol w:w="846"/>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326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项目</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本年收入合计</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财政拨款收入</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上级补助收入</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事业收入</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经营收入</w:t>
            </w:r>
          </w:p>
        </w:tc>
        <w:tc>
          <w:tcPr>
            <w:tcW w:w="8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附属单位上缴收入</w:t>
            </w:r>
          </w:p>
        </w:tc>
        <w:tc>
          <w:tcPr>
            <w:tcW w:w="846"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其他收入</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功能分类</w:t>
            </w:r>
          </w:p>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科目编码</w:t>
            </w:r>
          </w:p>
        </w:tc>
        <w:tc>
          <w:tcPr>
            <w:tcW w:w="24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科目名称</w:t>
            </w: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4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4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326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栏次</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4</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w:t>
            </w:r>
          </w:p>
        </w:tc>
        <w:tc>
          <w:tcPr>
            <w:tcW w:w="82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6</w:t>
            </w:r>
          </w:p>
        </w:tc>
        <w:tc>
          <w:tcPr>
            <w:tcW w:w="846"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326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合计</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1,538.71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1,538.71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一般公共服务支出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797.06</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797.06</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20102</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政协事务</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1.80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1.80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2010206</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参政议政</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1.80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1.80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20103</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政府办公厅（室）及相关机构事务</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794.76</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794.76</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2010301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行政运行</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170.99</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170.99</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2010302</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一般行政管理事务</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435.80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435.80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2010350</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事业运行</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100.97</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100.97</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2010399</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其他政府办公厅（室）及相关机构事务支出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87.00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87.00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20105</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统计信息事务</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0.50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0.50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2010502</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一般行政管理事务</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0.50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0.50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208</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社会保障和就业支出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50.02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50.02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20805</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行政事业单位养老支出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49.02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49.02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2080505</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机关事业单位基本养老保险缴费支出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49.02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49.02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20899</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其他社会保障和就业支出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0.99</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0.99</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2089999</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其他社会保障和就业支出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0.99</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0.99</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210</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卫生健康支出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47.03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47.03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21011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行政事业单位医疗</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41.03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41.03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2101101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行政单位医疗</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15.89</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15.89</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2101102</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事业单位医疗</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6.11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6.11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2101199</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其他行政事业单位医疗支出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19.03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19.03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21015</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医疗保障管理事务</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6.00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6.00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2101599</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其他医疗保障管理事务支出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6.00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6.00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212</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城乡社区支出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379.67</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379.67</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21208</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国有土地使用权出让收入安排的支出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379.67</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379.67</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2120801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征地和拆迁补偿支出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379.67</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379.67</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213</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农林水支出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242.21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242.21</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21301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农业农村</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2.83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2.83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2130119</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防灾救灾</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2.83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2.83</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21307</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农村综合改革</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239.38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239.38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2130705</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对村民委员会和村党支部的补助</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239.38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239.38</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221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住房保障支出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22.72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22.72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22102</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住房改革支出</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22.72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22.72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2210201</w:t>
            </w:r>
          </w:p>
        </w:tc>
        <w:tc>
          <w:tcPr>
            <w:tcW w:w="24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住房公积金</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22.72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22.72</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2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25" w:hRule="exact"/>
          <w:jc w:val="center"/>
        </w:trPr>
        <w:tc>
          <w:tcPr>
            <w:tcW w:w="9026" w:type="dxa"/>
            <w:gridSpan w:val="9"/>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0"/>
                <w:szCs w:val="22"/>
                <w:lang w:val="en-US" w:eastAsia="zh-CN" w:bidi="ar-SA"/>
              </w:rPr>
              <w:t>注：本表反映本年度取得的各项收入情况。本表金额转换为万元时，因四舍五入可能存在尾差。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9026"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公开03表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3513"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部门：郸城县洺南街道办事处</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2024年度</w:t>
            </w:r>
          </w:p>
        </w:tc>
        <w:tc>
          <w:tcPr>
            <w:tcW w:w="3513"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2"/>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840"/>
        <w:gridCol w:w="2840"/>
        <w:gridCol w:w="900"/>
        <w:gridCol w:w="900"/>
        <w:gridCol w:w="900"/>
        <w:gridCol w:w="900"/>
        <w:gridCol w:w="900"/>
        <w:gridCol w:w="846"/>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368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本年支出合计</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基本支出</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项目支出</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上缴上级支出</w:t>
            </w:r>
          </w:p>
        </w:tc>
        <w:tc>
          <w:tcPr>
            <w:tcW w:w="9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经营支出</w:t>
            </w:r>
          </w:p>
        </w:tc>
        <w:tc>
          <w:tcPr>
            <w:tcW w:w="846"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对附属单位补助支出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功能分类</w:t>
            </w:r>
          </w:p>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科目编码</w:t>
            </w:r>
          </w:p>
        </w:tc>
        <w:tc>
          <w:tcPr>
            <w:tcW w:w="284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8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8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4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368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栏次</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w:t>
            </w:r>
          </w:p>
        </w:tc>
        <w:tc>
          <w:tcPr>
            <w:tcW w:w="9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w:t>
            </w:r>
          </w:p>
        </w:tc>
        <w:tc>
          <w:tcPr>
            <w:tcW w:w="846"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368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合计</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1,538.71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510.87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1,027.84</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一般公共服务支出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797.06</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271.96</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525.10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20102</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政协事务</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1.80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1.80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2010206</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参政议政</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1.80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1.80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20103</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政府办公厅（室）及相关机构事务</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794.76</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271.96</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522.80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2010301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行政运行</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170.99</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170.99</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2010302</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一般行政管理事务</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435.80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435.80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2010350</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事业运行</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100.97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100.97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2010399</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其他政府办公厅（室）及相关机构事务支出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87.00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87.00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20105</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统计信息事务</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0.50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0.50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2010502</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一般行政管理事务</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0.50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0.50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社会保障和就业支出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50.02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50.02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20805</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行政事业单位养老支出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49.02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49.02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2080505</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机关事业单位基本养老保险缴费支出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49.02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49.02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20899</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其他社会保障和就业支出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0.99</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0.99</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2089999</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其他社会保障和就业支出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0.99</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0.99</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210</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卫生健康支出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47.03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41.03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21011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行政事业单位医疗</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41.03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41.03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2101101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行政单位医疗</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15.89</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15.89</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2101102</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事业单位医疗</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6.11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6.11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2101199</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其他行政事业单位医疗支出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19.03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19.03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21015</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医疗保障管理事务</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2101599</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其他医疗保障管理事务支出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212</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城乡社区支出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379.67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379.67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21208</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国有土地使用权出让收入安排的支出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379.67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379.67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2120801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征地和拆迁补偿支出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379.67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379.67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农林水支出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242.21</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125.14</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117.07</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农业农村</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2.83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2.83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2130119</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防灾救灾</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2.83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2.83</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21307</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农村综合改革</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239.38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125.14</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114.24</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2130705</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对村民委员会和村党支部的补助</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239.38</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125.14</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114.24</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住房保障支出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22.72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22.72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22102</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住房改革支出</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22.72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22.72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2210201</w:t>
            </w:r>
          </w:p>
        </w:tc>
        <w:tc>
          <w:tcPr>
            <w:tcW w:w="284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住房公积金</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22.72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22.72</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9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4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43" w:hRule="exact"/>
          <w:jc w:val="center"/>
        </w:trPr>
        <w:tc>
          <w:tcPr>
            <w:tcW w:w="9026" w:type="dxa"/>
            <w:gridSpan w:val="8"/>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注：本表反映本年度各项支出情况。本表金额转换为万元时，因四舍五入可能存在尾差。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财政拨款收入支出决算总表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2824"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公开04表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412"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部门：郸城县洺南街道办事处</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2024年度</w:t>
            </w:r>
          </w:p>
        </w:tc>
        <w:tc>
          <w:tcPr>
            <w:tcW w:w="5412"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2680"/>
        <w:gridCol w:w="460"/>
        <w:gridCol w:w="1300"/>
        <w:gridCol w:w="2680"/>
        <w:gridCol w:w="460"/>
        <w:gridCol w:w="1300"/>
        <w:gridCol w:w="1300"/>
        <w:gridCol w:w="1300"/>
        <w:gridCol w:w="134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444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收     入</w:t>
            </w:r>
          </w:p>
        </w:tc>
        <w:tc>
          <w:tcPr>
            <w:tcW w:w="8384" w:type="dxa"/>
            <w:gridSpan w:val="6"/>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支     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19" w:hRule="exact"/>
          <w:jc w:val="center"/>
        </w:trPr>
        <w:tc>
          <w:tcPr>
            <w:tcW w:w="26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w:t>
            </w:r>
          </w:p>
        </w:tc>
        <w:tc>
          <w:tcPr>
            <w:tcW w:w="4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行次</w:t>
            </w:r>
          </w:p>
        </w:tc>
        <w:tc>
          <w:tcPr>
            <w:tcW w:w="13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金额</w:t>
            </w:r>
          </w:p>
        </w:tc>
        <w:tc>
          <w:tcPr>
            <w:tcW w:w="26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项目</w:t>
            </w:r>
          </w:p>
        </w:tc>
        <w:tc>
          <w:tcPr>
            <w:tcW w:w="4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行次</w:t>
            </w:r>
          </w:p>
        </w:tc>
        <w:tc>
          <w:tcPr>
            <w:tcW w:w="13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合计</w:t>
            </w:r>
          </w:p>
        </w:tc>
        <w:tc>
          <w:tcPr>
            <w:tcW w:w="13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一般公共预算财政拨款</w:t>
            </w:r>
          </w:p>
        </w:tc>
        <w:tc>
          <w:tcPr>
            <w:tcW w:w="13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政府性基金预算财政拨款</w:t>
            </w:r>
          </w:p>
        </w:tc>
        <w:tc>
          <w:tcPr>
            <w:tcW w:w="1344"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国有资本经营预算财政拨款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65" w:hRule="exact"/>
          <w:jc w:val="center"/>
        </w:trPr>
        <w:tc>
          <w:tcPr>
            <w:tcW w:w="26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44"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栏次</w:t>
            </w:r>
          </w:p>
        </w:tc>
        <w:tc>
          <w:tcPr>
            <w:tcW w:w="46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w:t>
            </w:r>
          </w:p>
        </w:tc>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栏次</w:t>
            </w:r>
          </w:p>
        </w:tc>
        <w:tc>
          <w:tcPr>
            <w:tcW w:w="46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w:t>
            </w:r>
          </w:p>
        </w:tc>
        <w:tc>
          <w:tcPr>
            <w:tcW w:w="13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w:t>
            </w:r>
          </w:p>
        </w:tc>
        <w:tc>
          <w:tcPr>
            <w:tcW w:w="130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w:t>
            </w:r>
          </w:p>
        </w:tc>
        <w:tc>
          <w:tcPr>
            <w:tcW w:w="1344"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一、一般公共预算财政拨款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1,159.04</w:t>
            </w: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一、一般公共服务支出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797.06</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797.06</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二、政府性基金预算财政拨款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379.67</w:t>
            </w: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二、外交支出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三、国有资本经营预算财政拨款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三、国防支出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35</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四、公共安全支出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36</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五、教育支出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六、科学技术支出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7</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七、文化旅游体育与传媒支出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8</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八、社会保障和就业支出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50.02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50.02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9</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九、卫生健康支出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47.03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47.03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10</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十、节能环保支出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十一、城乡社区支出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379.67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379.67</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12</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十二、农林水支出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242.21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242.21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13</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十三、交通运输支出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45</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14</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十四、资源勘探工业信息等支出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46</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15</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十五、商业服务业等支出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十六、金融支出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17</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十七、援助其他地区支出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18</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十八、自然资源海洋气象等支出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19</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十九、住房保障支出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22.72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22.72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20</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二十、粮油物资储备支出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21</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二十一、国有资本经营预算支出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53</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22</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二十二、灾害防治及应急管理支出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23</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二十三、其他支出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55</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24</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二十四、债务还本支出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56</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25</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二十五、债务付息支出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26</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二十六、抗疫特别国债安排的支出</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本年收入合计</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27</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1,538.71</w:t>
            </w:r>
          </w:p>
        </w:tc>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本年支出合计</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1,538.71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1,159.04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379.67</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年初财政拨款结转和结余</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28</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年末财政拨款结转和结余</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一般公共预算财政拨款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29</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61</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4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政府性基金预算财政拨款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62</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4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国有资本经营预算财政拨款</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26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63</w:t>
            </w: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4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总计</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32</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1,538.71</w:t>
            </w:r>
          </w:p>
        </w:tc>
        <w:tc>
          <w:tcPr>
            <w:tcW w:w="26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i w:val="0"/>
                <w:color w:val="000000"/>
                <w:kern w:val="2"/>
                <w:sz w:val="11"/>
                <w:szCs w:val="22"/>
                <w:lang w:val="en-US" w:eastAsia="zh-CN" w:bidi="ar-SA"/>
              </w:rPr>
              <w:t>总计</w:t>
            </w:r>
          </w:p>
        </w:tc>
        <w:tc>
          <w:tcPr>
            <w:tcW w:w="4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64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1,538.71</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1,159.04</w:t>
            </w:r>
          </w:p>
        </w:tc>
        <w:tc>
          <w:tcPr>
            <w:tcW w:w="130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379.67</w:t>
            </w:r>
          </w:p>
        </w:tc>
        <w:tc>
          <w:tcPr>
            <w:tcW w:w="134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0" w:hRule="exact"/>
          <w:jc w:val="center"/>
        </w:trPr>
        <w:tc>
          <w:tcPr>
            <w:tcW w:w="12824" w:type="dxa"/>
            <w:gridSpan w:val="9"/>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注：本表反映本年度一般公共预算财政拨款、政府性基金预算财政拨款和国有资本经营预算财政拨款的总收支和年末结转结余情况。本表金额转换为万元时，因四舍五入可能存在尾差。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华文中宋" w:hAnsi="华文中宋" w:eastAsia="华文中宋" w:cs="华文中宋"/>
          <w:color w:val="000000"/>
          <w:kern w:val="0"/>
          <w:sz w:val="32"/>
          <w:szCs w:val="32"/>
          <w:lang w:val="en-US" w:eastAsia="zh-CN"/>
        </w:rPr>
      </w:pPr>
      <w:r>
        <w:rPr>
          <w:rFonts w:hint="eastAsia" w:ascii="华文中宋" w:hAnsi="华文中宋" w:eastAsia="华文中宋" w:cs="华文中宋"/>
          <w:color w:val="000000"/>
          <w:kern w:val="0"/>
          <w:sz w:val="32"/>
          <w:szCs w:val="32"/>
          <w:lang w:val="en-US" w:eastAsia="zh-CN"/>
        </w:rPr>
        <w:t>一般公共预算财政拨款支出决算表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9026"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公开05表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3513"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部门：郸城县洺南街道办事处</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2024年度</w:t>
            </w:r>
          </w:p>
        </w:tc>
        <w:tc>
          <w:tcPr>
            <w:tcW w:w="3513"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3"/>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960"/>
        <w:gridCol w:w="3760"/>
        <w:gridCol w:w="1440"/>
        <w:gridCol w:w="1440"/>
        <w:gridCol w:w="1426"/>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472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项目</w:t>
            </w:r>
          </w:p>
        </w:tc>
        <w:tc>
          <w:tcPr>
            <w:tcW w:w="4306"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本年支出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功能分类</w:t>
            </w:r>
          </w:p>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科目编码</w:t>
            </w:r>
          </w:p>
        </w:tc>
        <w:tc>
          <w:tcPr>
            <w:tcW w:w="37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科目名称</w:t>
            </w:r>
          </w:p>
        </w:tc>
        <w:tc>
          <w:tcPr>
            <w:tcW w:w="144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小计</w:t>
            </w:r>
          </w:p>
        </w:tc>
        <w:tc>
          <w:tcPr>
            <w:tcW w:w="144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基本支出</w:t>
            </w:r>
          </w:p>
        </w:tc>
        <w:tc>
          <w:tcPr>
            <w:tcW w:w="1426"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项目支出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58" w:hRule="exact"/>
          <w:jc w:val="center"/>
        </w:trPr>
        <w:tc>
          <w:tcPr>
            <w:tcW w:w="9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7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2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37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4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426"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472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栏次</w:t>
            </w:r>
          </w:p>
        </w:tc>
        <w:tc>
          <w:tcPr>
            <w:tcW w:w="14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w:t>
            </w:r>
          </w:p>
        </w:tc>
        <w:tc>
          <w:tcPr>
            <w:tcW w:w="144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w:t>
            </w:r>
          </w:p>
        </w:tc>
        <w:tc>
          <w:tcPr>
            <w:tcW w:w="1426"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472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合计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1,159.04</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510.87</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648.17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一般公共服务支出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797.06</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271.96</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525.10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人大事务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2010108</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代表工作</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20102</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政协事务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1.80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1.80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2010206</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参政议政</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1.80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1.80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20103</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政府办公厅（室）及相关机构事务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794.76</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271.96</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522.80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2010301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行政运行</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170.99</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170.99</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2010302</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一般行政管理事务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435.80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435.80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2010350</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事业运行</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100.97</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100.97</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2010399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其他政府办公厅（室）及相关机构事务支出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87.00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87.00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20105</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统计信息事务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0.50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0.50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2010502</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一般行政管理事务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0.50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0.50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2010507</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专项普查活动</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社会保障和就业支出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50.02</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50.02</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20805</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行政事业单位养老支出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49.02</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49.02</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2080505</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机关事业单位基本养老保险缴费支出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49.02</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49.02</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20807</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就业补助</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2080711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就业见习补贴</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20808</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抚恤</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2080801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死亡抚恤</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其他社会保障和就业支出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0.99</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0.99</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2089999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其他社会保障和就业支出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0.99</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0.99</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210</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卫生健康支出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47.03</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41.03</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6.00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21011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行政事业单位医疗</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41.03</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41.03</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2101101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行政单位医疗</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15.89</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15.89</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2101102</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事业单位医疗</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6.11</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6.11</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2101199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其他行政事业单位医疗支出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19.03</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19.03</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21015</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医疗保障管理事务</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6.00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6.00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2101599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其他医疗保障管理事务支出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6.00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6.00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农林水支出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242.21</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125.14</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117.07</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农业农村</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2.83</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2.83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2130119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防灾救灾</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2.83</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2.83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2130199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其他农业农村支出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21307</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农村综合改革</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239.38</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125.14</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114.24</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2130705</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对村民委员会和村党支部的补助</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239.38</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125.14</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114.24</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住房保障支出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22.72</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22.72</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22102</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住房改革支出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22.72</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22.72</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2210201</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住房公积金</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22.72</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22.72</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22103</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城乡社区住宅</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2210399</w:t>
            </w:r>
          </w:p>
        </w:tc>
        <w:tc>
          <w:tcPr>
            <w:tcW w:w="376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其他城乡社区住宅支出</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4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c>
          <w:tcPr>
            <w:tcW w:w="1426"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86" w:hRule="exact"/>
          <w:jc w:val="center"/>
        </w:trPr>
        <w:tc>
          <w:tcPr>
            <w:tcW w:w="9026" w:type="dxa"/>
            <w:gridSpan w:val="5"/>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3"/>
                <w:szCs w:val="22"/>
                <w:lang w:val="en-US" w:eastAsia="zh-CN" w:bidi="ar-SA"/>
              </w:rPr>
              <w:t>注：本表反映本年度一般公共预算财政拨款支出情况。本表金额转换为万元时，因四舍五入可能存在尾差。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一般公共预算财政拨款基本支出决算明细表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2824"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公开06表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412"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部门：郸城县洺南街道办事处</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2024年度</w:t>
            </w:r>
          </w:p>
        </w:tc>
        <w:tc>
          <w:tcPr>
            <w:tcW w:w="5412"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1"/>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800"/>
        <w:gridCol w:w="2380"/>
        <w:gridCol w:w="960"/>
        <w:gridCol w:w="800"/>
        <w:gridCol w:w="2380"/>
        <w:gridCol w:w="960"/>
        <w:gridCol w:w="800"/>
        <w:gridCol w:w="2780"/>
        <w:gridCol w:w="964"/>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414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人员经费</w:t>
            </w:r>
          </w:p>
        </w:tc>
        <w:tc>
          <w:tcPr>
            <w:tcW w:w="8684" w:type="dxa"/>
            <w:gridSpan w:val="6"/>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公用经费</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经济分类科目编码</w:t>
            </w:r>
          </w:p>
        </w:tc>
        <w:tc>
          <w:tcPr>
            <w:tcW w:w="2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决算数</w:t>
            </w:r>
          </w:p>
        </w:tc>
        <w:tc>
          <w:tcPr>
            <w:tcW w:w="8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经济分类科目编码</w:t>
            </w:r>
          </w:p>
        </w:tc>
        <w:tc>
          <w:tcPr>
            <w:tcW w:w="2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决算数</w:t>
            </w:r>
          </w:p>
        </w:tc>
        <w:tc>
          <w:tcPr>
            <w:tcW w:w="80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经济分类科目编码</w:t>
            </w:r>
          </w:p>
        </w:tc>
        <w:tc>
          <w:tcPr>
            <w:tcW w:w="27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科目名称</w:t>
            </w:r>
          </w:p>
        </w:tc>
        <w:tc>
          <w:tcPr>
            <w:tcW w:w="964"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决算数</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0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7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4"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工资福利支出</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337.10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商品和服务支出</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11.96</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307</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债务利息及费用支出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基本工资</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166.50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办公费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5.59</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30701</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国内债务付息</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津贴补贴</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18.66</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印刷费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30702</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国外债务付息</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奖金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17.07</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咨询费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资本性支出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伙食补助费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手续费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31001</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房屋建筑物购建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绩效工资</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19.45</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30205</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31002</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办公设备购置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机关事业单位基本养老保险缴费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49.62</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电费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1.24</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31003</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专用设备购置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30109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职业年金缴费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邮电费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31005</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基础设施建设</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30110</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职工基本医疗保险缴费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32.11</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取暖费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31006</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大型修缮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公务员医疗补助缴费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30209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物业管理费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31007</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信息网络及软件购置更新</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其他社会保障缴费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10.20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差旅费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31008</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物资储备</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住房公积金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23.49</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因公出国（境）费用</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31009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土地补偿</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30114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医疗费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维修（护）费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0.52</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31010</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安置补助</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30199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其他工资福利支出</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租赁费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31011</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地上附着物和青苗补偿</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对个人和家庭的补助</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161.81</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30215</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会议费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31012</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拆迁补偿</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离休费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培训费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31013</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公务用车购置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30302</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退休费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公务接待费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31019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其他交通工具购置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30303</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退职（役）费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30218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专用材料费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31021</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文物和陈列品购置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抚恤金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30224</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被装购置费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31022</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无形资产购置</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30305</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生活补助</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161.81</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30225</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专用燃料费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31099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其他资本性支出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救济费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30226</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劳务费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其他支出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医疗费补助</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30227</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委托业务费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39907</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国家赔偿费用支出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助学金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30228</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工会经费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39908</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对民间非营利组织和群众性自治组织补贴</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30309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奖励金</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30229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福利费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39909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经常性赠与</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30310</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个人农业生产补贴</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30231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公务用车运行维护费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39910</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资本性赠与</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30311</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代缴社会保险费</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30239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其他交通费用</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2.76</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39999</w:t>
            </w:r>
          </w:p>
        </w:tc>
        <w:tc>
          <w:tcPr>
            <w:tcW w:w="27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其他支出</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30399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其他对个人和家庭的补助</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30240</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税金及附加费用</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0.00</w:t>
            </w:r>
          </w:p>
        </w:tc>
        <w:tc>
          <w:tcPr>
            <w:tcW w:w="8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7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8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3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80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30299</w:t>
            </w:r>
          </w:p>
        </w:tc>
        <w:tc>
          <w:tcPr>
            <w:tcW w:w="2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 xml:space="preserve">  其他商品和服务支出</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1.84</w:t>
            </w:r>
          </w:p>
        </w:tc>
        <w:tc>
          <w:tcPr>
            <w:tcW w:w="80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7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964"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318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人员经费合计</w:t>
            </w:r>
          </w:p>
        </w:tc>
        <w:tc>
          <w:tcPr>
            <w:tcW w:w="9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498.91</w:t>
            </w:r>
          </w:p>
        </w:tc>
        <w:tc>
          <w:tcPr>
            <w:tcW w:w="7720" w:type="dxa"/>
            <w:gridSpan w:val="5"/>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公用经费合计</w:t>
            </w:r>
          </w:p>
        </w:tc>
        <w:tc>
          <w:tcPr>
            <w:tcW w:w="964"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11.96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239" w:hRule="exact"/>
          <w:jc w:val="center"/>
        </w:trPr>
        <w:tc>
          <w:tcPr>
            <w:tcW w:w="12824" w:type="dxa"/>
            <w:gridSpan w:val="9"/>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1"/>
                <w:szCs w:val="22"/>
                <w:lang w:val="en-US" w:eastAsia="zh-CN" w:bidi="ar-SA"/>
              </w:rPr>
              <w:t>注：本表反映本年度一般公共预算财政拨款基本支出明细情况。本表金额转换为万元时，因四舍五入可能存在尾差。</w:t>
            </w:r>
          </w:p>
        </w:tc>
      </w:tr>
    </w:tbl>
    <w:p>
      <w:pPr>
        <w:keepNext w:val="0"/>
        <w:keepLines w:val="0"/>
        <w:pageBreakBefore w:val="0"/>
        <w:widowControl/>
        <w:kinsoku/>
        <w:wordWrap w:val="0"/>
        <w:overflowPunct/>
        <w:topLinePunct w:val="0"/>
        <w:autoSpaceDE/>
        <w:autoSpaceDN/>
        <w:bidi w:val="0"/>
        <w:jc w:val="left"/>
        <w:textAlignment w:val="center"/>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政府性基金预算财政拨款收入支出决算表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3958"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公开07表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979"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部门：郸城县洺南街道办事处</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2024年度</w:t>
            </w:r>
          </w:p>
        </w:tc>
        <w:tc>
          <w:tcPr>
            <w:tcW w:w="5979"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8"/>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320"/>
        <w:gridCol w:w="4380"/>
        <w:gridCol w:w="1380"/>
        <w:gridCol w:w="1380"/>
        <w:gridCol w:w="1380"/>
        <w:gridCol w:w="1380"/>
        <w:gridCol w:w="1380"/>
        <w:gridCol w:w="135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570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项目</w:t>
            </w: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年初结转和结余</w:t>
            </w: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本年收入</w:t>
            </w:r>
          </w:p>
        </w:tc>
        <w:tc>
          <w:tcPr>
            <w:tcW w:w="414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本年支出</w:t>
            </w:r>
          </w:p>
        </w:tc>
        <w:tc>
          <w:tcPr>
            <w:tcW w:w="1358"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年末结转和结余</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功能分类</w:t>
            </w:r>
          </w:p>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科目编码</w:t>
            </w:r>
          </w:p>
        </w:tc>
        <w:tc>
          <w:tcPr>
            <w:tcW w:w="4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科目名称</w:t>
            </w: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小计</w:t>
            </w: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基本支出</w:t>
            </w:r>
          </w:p>
        </w:tc>
        <w:tc>
          <w:tcPr>
            <w:tcW w:w="13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项目支出</w:t>
            </w:r>
          </w:p>
        </w:tc>
        <w:tc>
          <w:tcPr>
            <w:tcW w:w="13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4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3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570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栏次</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1</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2</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3</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4</w:t>
            </w:r>
          </w:p>
        </w:tc>
        <w:tc>
          <w:tcPr>
            <w:tcW w:w="13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5</w:t>
            </w:r>
          </w:p>
        </w:tc>
        <w:tc>
          <w:tcPr>
            <w:tcW w:w="1358"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6</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570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合计</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379.67</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379.67</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379.67</w:t>
            </w:r>
          </w:p>
        </w:tc>
        <w:tc>
          <w:tcPr>
            <w:tcW w:w="1358"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212</w:t>
            </w:r>
          </w:p>
        </w:tc>
        <w:tc>
          <w:tcPr>
            <w:tcW w:w="4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城乡社区支出</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379.67</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379.67</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379.67</w:t>
            </w:r>
          </w:p>
        </w:tc>
        <w:tc>
          <w:tcPr>
            <w:tcW w:w="1358"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21208</w:t>
            </w:r>
          </w:p>
        </w:tc>
        <w:tc>
          <w:tcPr>
            <w:tcW w:w="4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国有土地使用权出让收入安排的支出</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379.67</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379.67</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379.67</w:t>
            </w:r>
          </w:p>
        </w:tc>
        <w:tc>
          <w:tcPr>
            <w:tcW w:w="1358"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2120801</w:t>
            </w:r>
          </w:p>
        </w:tc>
        <w:tc>
          <w:tcPr>
            <w:tcW w:w="4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征地和拆迁补偿支出</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379.67</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379.67</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379.67</w:t>
            </w:r>
          </w:p>
        </w:tc>
        <w:tc>
          <w:tcPr>
            <w:tcW w:w="1358"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2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2120899</w:t>
            </w:r>
          </w:p>
        </w:tc>
        <w:tc>
          <w:tcPr>
            <w:tcW w:w="4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其他国有土地使用权出让收入安排的支出</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80"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c>
          <w:tcPr>
            <w:tcW w:w="1358" w:type="dxa"/>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6" w:hRule="exact"/>
          <w:jc w:val="center"/>
        </w:trPr>
        <w:tc>
          <w:tcPr>
            <w:tcW w:w="13958" w:type="dxa"/>
            <w:gridSpan w:val="8"/>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8"/>
                <w:szCs w:val="22"/>
                <w:lang w:val="en-US" w:eastAsia="zh-CN" w:bidi="ar-SA"/>
              </w:rPr>
              <w:t>注：本表反映本年度政府性基金预算财政拨款收入、支出及结转和结余情况。</w:t>
            </w:r>
          </w:p>
        </w:tc>
      </w:tr>
    </w:tbl>
    <w:p>
      <w:pPr>
        <w:jc w:val="both"/>
        <w:rPr>
          <w:lang w:val="en-US" w:eastAsia="zh-CN"/>
        </w:rPr>
        <w:sectPr>
          <w:pgSz w:w="16838" w:h="11906" w:orient="landscape"/>
          <w:pgMar w:top="1800" w:right="1440" w:bottom="1800" w:left="144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eastAsia="宋体" w:cs="宋体"/>
          <w:color w:val="000000"/>
          <w:kern w:val="0"/>
          <w:sz w:val="20"/>
          <w:szCs w:val="20"/>
          <w:lang w:val="en-US" w:eastAsia="zh-CN"/>
        </w:rPr>
      </w:pPr>
      <w:r>
        <w:rPr>
          <w:rFonts w:hint="eastAsia" w:ascii="华文中宋" w:hAnsi="华文中宋" w:eastAsia="华文中宋" w:cs="宋体"/>
          <w:kern w:val="0"/>
          <w:sz w:val="32"/>
          <w:szCs w:val="32"/>
          <w:lang w:val="en-US" w:eastAsia="zh-CN"/>
        </w:rPr>
        <w:t>国有资本经营预算财政拨款支出决算表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3958"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公开08表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979"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部门：郸城县洺南街道办事处</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2024年度</w:t>
            </w:r>
          </w:p>
        </w:tc>
        <w:tc>
          <w:tcPr>
            <w:tcW w:w="5979"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9"/>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860"/>
        <w:gridCol w:w="5580"/>
        <w:gridCol w:w="2180"/>
        <w:gridCol w:w="2180"/>
        <w:gridCol w:w="215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744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项目</w:t>
            </w:r>
          </w:p>
        </w:tc>
        <w:tc>
          <w:tcPr>
            <w:tcW w:w="6518"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本年支出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科目代码</w:t>
            </w:r>
          </w:p>
        </w:tc>
        <w:tc>
          <w:tcPr>
            <w:tcW w:w="55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科目名称</w:t>
            </w:r>
          </w:p>
        </w:tc>
        <w:tc>
          <w:tcPr>
            <w:tcW w:w="21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合计</w:t>
            </w:r>
          </w:p>
        </w:tc>
        <w:tc>
          <w:tcPr>
            <w:tcW w:w="218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基本支出</w:t>
            </w:r>
          </w:p>
        </w:tc>
        <w:tc>
          <w:tcPr>
            <w:tcW w:w="2158"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项目支出</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5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5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5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744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栏次</w:t>
            </w:r>
          </w:p>
        </w:tc>
        <w:tc>
          <w:tcPr>
            <w:tcW w:w="21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1</w:t>
            </w:r>
          </w:p>
        </w:tc>
        <w:tc>
          <w:tcPr>
            <w:tcW w:w="218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2</w:t>
            </w:r>
          </w:p>
        </w:tc>
        <w:tc>
          <w:tcPr>
            <w:tcW w:w="2158"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3</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7440" w:type="dxa"/>
            <w:gridSpan w:val="2"/>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合计</w:t>
            </w:r>
          </w:p>
        </w:tc>
        <w:tc>
          <w:tcPr>
            <w:tcW w:w="218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 xml:space="preserve"> 0.00</w:t>
            </w:r>
          </w:p>
        </w:tc>
        <w:tc>
          <w:tcPr>
            <w:tcW w:w="218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 xml:space="preserve"> 0.00</w:t>
            </w:r>
          </w:p>
        </w:tc>
        <w:tc>
          <w:tcPr>
            <w:tcW w:w="2158"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 xml:space="preserve"> 0.00</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86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55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80" w:type="dxa"/>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2158" w:type="dxa"/>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409" w:hRule="exact"/>
          <w:jc w:val="center"/>
        </w:trPr>
        <w:tc>
          <w:tcPr>
            <w:tcW w:w="13958" w:type="dxa"/>
            <w:gridSpan w:val="5"/>
            <w:tcBorders>
              <w:left w:val="nil"/>
              <w:bottom w:val="nil"/>
              <w:right w:val="nil"/>
            </w:tcBorders>
            <w:noWrap w:val="0"/>
            <w:vAlign w:val="center"/>
          </w:tcPr>
          <w:p>
            <w:pPr>
              <w:widowControl w:val="0"/>
              <w:snapToGrid w:val="0"/>
              <w:jc w:val="lef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9"/>
                <w:szCs w:val="22"/>
                <w:lang w:val="en-US" w:eastAsia="zh-CN" w:bidi="ar-SA"/>
              </w:rPr>
              <w:t>注：本表反映本年度国有资本经营预算财政拨款支出情况。</w:t>
            </w:r>
          </w:p>
        </w:tc>
      </w:tr>
    </w:tbl>
    <w:p>
      <w:pPr>
        <w:keepNext w:val="0"/>
        <w:keepLines w:val="0"/>
        <w:pageBreakBefore w:val="0"/>
        <w:widowControl/>
        <w:kinsoku/>
        <w:wordWrap w:val="0"/>
        <w:overflowPunct/>
        <w:topLinePunct w:val="0"/>
        <w:autoSpaceDE/>
        <w:autoSpaceDN/>
        <w:bidi w:val="0"/>
        <w:adjustRightInd/>
        <w:snapToGrid/>
        <w:ind w:left="84" w:leftChars="40"/>
        <w:jc w:val="left"/>
        <w:textAlignment w:val="center"/>
        <w:rPr>
          <w:rFonts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9"/>
          <w:szCs w:val="19"/>
          <w:lang w:val="en-US" w:eastAsia="zh-CN"/>
        </w:rPr>
        <w:t>说明：我部门没有使用国有资本经营预算安排的支出，故本表无数据。</w:t>
      </w:r>
      <w:r>
        <w:rPr>
          <w:rFonts w:hint="eastAsia" w:ascii="宋体" w:hAnsi="宋体" w:eastAsia="宋体" w:cs="宋体"/>
          <w:color w:val="000000"/>
          <w:kern w:val="0"/>
          <w:sz w:val="20"/>
          <w:szCs w:val="20"/>
          <w:lang w:val="en-US" w:eastAsia="zh-CN"/>
        </w:rPr>
        <w:t xml:space="preserve"> </w:t>
      </w: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一般公共预算财政拨款“三公”经费支出决算表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13958" w:type="dxa"/>
            <w:gridSpan w:val="3"/>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公开09表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wBefore w:w="0" w:type="dxa"/>
          <w:wAfter w:w="0" w:type="dxa"/>
          <w:trHeight w:val="0" w:hRule="atLeast"/>
          <w:jc w:val="center"/>
        </w:trPr>
        <w:tc>
          <w:tcPr>
            <w:tcW w:w="5979" w:type="dxa"/>
            <w:noWrap w:val="0"/>
            <w:vAlign w:val="top"/>
          </w:tcPr>
          <w:p>
            <w:pPr>
              <w:widowControl w:val="0"/>
              <w:jc w:val="left"/>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部门：郸城县洺南街道办事处</w:t>
            </w:r>
          </w:p>
        </w:tc>
        <w:tc>
          <w:tcPr>
            <w:tcW w:w="2000" w:type="dxa"/>
            <w:noWrap w:val="0"/>
            <w:vAlign w:val="top"/>
          </w:tcPr>
          <w:p>
            <w:pPr>
              <w:widowControl w:val="0"/>
              <w:jc w:val="center"/>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2024年度</w:t>
            </w:r>
          </w:p>
        </w:tc>
        <w:tc>
          <w:tcPr>
            <w:tcW w:w="5979" w:type="dxa"/>
            <w:noWrap w:val="0"/>
            <w:vAlign w:val="top"/>
          </w:tcPr>
          <w:p>
            <w:pPr>
              <w:widowControl w:val="0"/>
              <w:jc w:val="right"/>
              <w:rPr>
                <w:rFonts w:ascii="Times New Roman" w:hAnsi="Times New Roman" w:eastAsia="宋体" w:cs="Times New Roman"/>
                <w:kern w:val="2"/>
                <w:sz w:val="21"/>
                <w:szCs w:val="22"/>
                <w:lang w:val="en-US" w:eastAsia="zh-CN" w:bidi="ar-SA"/>
              </w:rPr>
            </w:pPr>
            <w:r>
              <w:rPr>
                <w:rFonts w:ascii="宋体" w:hAnsi="宋体" w:eastAsia="宋体" w:cs="宋体"/>
                <w:kern w:val="2"/>
                <w:sz w:val="17"/>
                <w:szCs w:val="22"/>
                <w:lang w:val="en-US" w:eastAsia="zh-CN" w:bidi="ar-SA"/>
              </w:rPr>
              <w:t>单位：万元</w:t>
            </w:r>
          </w:p>
        </w:tc>
      </w:tr>
    </w:tbl>
    <w:p>
      <w:pPr>
        <w:snapToGrid w:val="0"/>
        <w:spacing w:before="0" w:after="0" w:line="0" w:lineRule="auto"/>
        <w:jc w:val="both"/>
        <w:rPr>
          <w:lang w:val="en-US" w:eastAsia="zh-CN"/>
        </w:rPr>
      </w:pPr>
      <w:r>
        <w:rPr>
          <w:sz w:val="8"/>
          <w:lang w:val="en-US" w:eastAsia="zh-CN"/>
        </w:rPr>
        <w:t xml:space="preserve"> </w:t>
      </w:r>
    </w:p>
    <w:tbl>
      <w:tblPr>
        <w:tblStyle w:val="2"/>
        <w:tblW w:w="0" w:type="auto"/>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80" w:type="dxa"/>
          <w:bottom w:w="0" w:type="dxa"/>
          <w:right w:w="80" w:type="dxa"/>
        </w:tblCellMar>
      </w:tblPr>
      <w:tblGrid>
        <w:gridCol w:w="1160"/>
        <w:gridCol w:w="1160"/>
        <w:gridCol w:w="1160"/>
        <w:gridCol w:w="1160"/>
        <w:gridCol w:w="1160"/>
        <w:gridCol w:w="1160"/>
        <w:gridCol w:w="1160"/>
        <w:gridCol w:w="1160"/>
        <w:gridCol w:w="1160"/>
        <w:gridCol w:w="1160"/>
        <w:gridCol w:w="1160"/>
        <w:gridCol w:w="119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6960" w:type="dxa"/>
            <w:gridSpan w:val="6"/>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预算数</w:t>
            </w:r>
          </w:p>
        </w:tc>
        <w:tc>
          <w:tcPr>
            <w:tcW w:w="6998" w:type="dxa"/>
            <w:gridSpan w:val="6"/>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决算数</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合计</w:t>
            </w:r>
          </w:p>
        </w:tc>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因公出国（境）费</w:t>
            </w:r>
          </w:p>
        </w:tc>
        <w:tc>
          <w:tcPr>
            <w:tcW w:w="348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公务用车购置及运行维护费</w:t>
            </w:r>
          </w:p>
        </w:tc>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公务接待费</w:t>
            </w:r>
          </w:p>
        </w:tc>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合计</w:t>
            </w:r>
          </w:p>
        </w:tc>
        <w:tc>
          <w:tcPr>
            <w:tcW w:w="1160"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因公出国（境）费</w:t>
            </w:r>
          </w:p>
        </w:tc>
        <w:tc>
          <w:tcPr>
            <w:tcW w:w="3480" w:type="dxa"/>
            <w:gridSpan w:val="3"/>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公务用车购置及运行维护费</w:t>
            </w:r>
          </w:p>
        </w:tc>
        <w:tc>
          <w:tcPr>
            <w:tcW w:w="1198" w:type="dxa"/>
            <w:vMerge w:val="restart"/>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公务接待费</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742" w:hRule="exact"/>
          <w:jc w:val="center"/>
        </w:trPr>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小计</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公务用车购置费</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公务用车运行维护费</w:t>
            </w:r>
          </w:p>
        </w:tc>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小计</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公务用车购置费</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公务用车运行维护费</w:t>
            </w:r>
          </w:p>
        </w:tc>
        <w:tc>
          <w:tcPr>
            <w:tcW w:w="1198" w:type="dxa"/>
            <w:vMerge w:val="continue"/>
            <w:noWrap w:val="0"/>
            <w:vAlign w:val="center"/>
          </w:tcPr>
          <w:p>
            <w:pPr>
              <w:widowControl w:val="0"/>
              <w:jc w:val="both"/>
              <w:rPr>
                <w:rFonts w:ascii="Times New Roman" w:hAnsi="Times New Roman" w:eastAsia="宋体" w:cs="Times New Roman"/>
                <w:kern w:val="2"/>
                <w:sz w:val="21"/>
                <w:szCs w:val="22"/>
                <w:lang w:val="en-US" w:eastAsia="zh-CN" w:bidi="ar-SA"/>
              </w:rPr>
            </w:pP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2</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3</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4</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5</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6</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7</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8</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9</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10</w:t>
            </w:r>
          </w:p>
        </w:tc>
        <w:tc>
          <w:tcPr>
            <w:tcW w:w="1160"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11</w:t>
            </w:r>
          </w:p>
        </w:tc>
        <w:tc>
          <w:tcPr>
            <w:tcW w:w="1198" w:type="dxa"/>
            <w:noWrap w:val="0"/>
            <w:vAlign w:val="center"/>
          </w:tcPr>
          <w:p>
            <w:pPr>
              <w:widowControl w:val="0"/>
              <w:snapToGrid w:val="0"/>
              <w:jc w:val="center"/>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12</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80" w:type="dxa"/>
            <w:bottom w:w="0" w:type="dxa"/>
            <w:right w:w="80" w:type="dxa"/>
          </w:tblCellMar>
        </w:tblPrEx>
        <w:trPr>
          <w:wBefore w:w="0" w:type="dxa"/>
          <w:wAfter w:w="0" w:type="dxa"/>
          <w:trHeight w:val="371" w:hRule="exact"/>
          <w:jc w:val="center"/>
        </w:trPr>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60"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c>
          <w:tcPr>
            <w:tcW w:w="1198" w:type="dxa"/>
            <w:noWrap w:val="0"/>
            <w:vAlign w:val="center"/>
          </w:tcPr>
          <w:p>
            <w:pPr>
              <w:widowControl w:val="0"/>
              <w:snapToGrid w:val="0"/>
              <w:jc w:val="right"/>
              <w:rPr>
                <w:rFonts w:ascii="Times New Roman" w:hAnsi="Times New Roman" w:eastAsia="宋体" w:cs="Times New Roman"/>
                <w:kern w:val="2"/>
                <w:sz w:val="21"/>
                <w:szCs w:val="22"/>
                <w:lang w:val="en-US" w:eastAsia="zh-CN" w:bidi="ar-SA"/>
              </w:rPr>
            </w:pPr>
            <w:r>
              <w:rPr>
                <w:rFonts w:ascii="宋体" w:hAnsi="宋体" w:eastAsia="宋体" w:cs="宋体"/>
                <w:b w:val="0"/>
                <w:i w:val="0"/>
                <w:color w:val="000000"/>
                <w:kern w:val="2"/>
                <w:sz w:val="17"/>
                <w:szCs w:val="22"/>
                <w:lang w:val="en-US" w:eastAsia="zh-CN" w:bidi="ar-SA"/>
              </w:rPr>
              <w:t xml:space="preserve"> 0.00</w:t>
            </w:r>
          </w:p>
        </w:tc>
      </w:tr>
    </w:tbl>
    <w:p>
      <w:pPr>
        <w:keepNext w:val="0"/>
        <w:keepLines w:val="0"/>
        <w:pageBreakBefore w:val="0"/>
        <w:widowControl w:val="0"/>
        <w:kinsoku/>
        <w:wordWrap w:val="0"/>
        <w:overflowPunct/>
        <w:topLinePunct w:val="0"/>
        <w:autoSpaceDE/>
        <w:autoSpaceDN/>
        <w:bidi w:val="0"/>
        <w:adjustRightInd/>
        <w:snapToGrid/>
        <w:ind w:left="63" w:leftChars="30"/>
        <w:jc w:val="both"/>
        <w:textAlignment w:val="auto"/>
        <w:rPr>
          <w:rFonts w:ascii="仿宋_GB2312" w:hAnsi="仿宋_GB2312" w:eastAsia="仿宋_GB2312" w:cs="仿宋_GB2312"/>
          <w:sz w:val="32"/>
          <w:szCs w:val="32"/>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7"/>
          <w:szCs w:val="17"/>
          <w:lang w:val="en-US" w:eastAsia="zh-CN"/>
        </w:rPr>
        <w:t>说明：我部门没有“三公”经费预算，也没有“三公”经费支出，故本表无数据。</w:t>
      </w:r>
      <w:r>
        <w:rPr>
          <w:rFonts w:hint="eastAsia" w:ascii="宋体" w:hAnsi="宋体" w:eastAsia="宋体" w:cs="宋体"/>
          <w:color w:val="000000"/>
          <w:kern w:val="0"/>
          <w:sz w:val="19"/>
          <w:szCs w:val="19"/>
          <w:lang w:val="en-US" w:eastAsia="zh-CN"/>
        </w:rPr>
        <w:t xml:space="preserve"> </w:t>
      </w:r>
    </w:p>
    <w:p>
      <w:pPr>
        <w:keepNext w:val="0"/>
        <w:keepLines w:val="0"/>
        <w:pageBreakBefore w:val="0"/>
        <w:tabs>
          <w:tab w:val="left" w:pos="5665"/>
        </w:tabs>
        <w:kinsoku/>
        <w:wordWrap w:val="0"/>
        <w:overflowPunct/>
        <w:topLinePunct w:val="0"/>
        <w:autoSpaceDE/>
        <w:autoSpaceDN/>
        <w:bidi w:val="0"/>
        <w:jc w:val="both"/>
        <w:rPr>
          <w:rFonts w:ascii="仿宋_GB2312" w:hAnsi="仿宋_GB2312" w:eastAsia="仿宋_GB2312" w:cs="仿宋_GB2312"/>
          <w:sz w:val="32"/>
          <w:szCs w:val="32"/>
          <w:lang w:val="en-US" w:eastAsia="zh-CN"/>
        </w:rPr>
      </w:pPr>
    </w:p>
    <w:p>
      <w:pPr>
        <w:keepNext w:val="0"/>
        <w:keepLines w:val="0"/>
        <w:pageBreakBefore w:val="0"/>
        <w:tabs>
          <w:tab w:val="left" w:pos="5665"/>
        </w:tabs>
        <w:kinsoku/>
        <w:wordWrap w:val="0"/>
        <w:overflowPunct/>
        <w:topLinePunct w:val="0"/>
        <w:autoSpaceDE/>
        <w:autoSpaceDN/>
        <w:bidi w:val="0"/>
        <w:jc w:val="both"/>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第三部分 2024年度部门决算情况说明</w:t>
      </w: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一、收入支出决算总体情况说明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黑体" w:hAnsi="黑体" w:eastAsia="黑体" w:cs="黑体"/>
          <w:sz w:val="32"/>
          <w:szCs w:val="32"/>
          <w:lang w:val="en-US" w:eastAsia="zh-CN"/>
        </w:rPr>
      </w:pPr>
      <w:r>
        <w:rPr>
          <w:rFonts w:hint="eastAsia"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年度收、支总计均为</w:t>
      </w:r>
      <w:r>
        <w:rPr>
          <w:rFonts w:hint="eastAsia" w:ascii="仿宋_GB2312" w:hAnsi="仿宋_GB2312" w:eastAsia="仿宋_GB2312" w:cs="仿宋_GB2312"/>
          <w:sz w:val="32"/>
          <w:szCs w:val="32"/>
          <w:highlight w:val="none"/>
          <w:lang w:val="en-US" w:eastAsia="zh-CN"/>
        </w:rPr>
        <w:t>1538.71</w:t>
      </w:r>
      <w:r>
        <w:rPr>
          <w:rFonts w:hint="eastAsia" w:ascii="仿宋_GB2312" w:hAnsi="仿宋_GB2312" w:eastAsia="仿宋_GB2312" w:cs="仿宋_GB2312"/>
          <w:sz w:val="32"/>
          <w:szCs w:val="32"/>
          <w:lang w:val="en-US" w:eastAsia="zh-CN"/>
        </w:rPr>
        <w:t>万元。</w:t>
      </w:r>
      <w:r>
        <w:rPr>
          <w:rFonts w:hint="eastAsia" w:ascii="仿宋" w:hAnsi="仿宋" w:eastAsia="仿宋" w:cs="仿宋"/>
          <w:snapToGrid/>
          <w:color w:val="auto"/>
          <w:kern w:val="2"/>
          <w:sz w:val="32"/>
          <w:szCs w:val="32"/>
          <w:highlight w:val="none"/>
          <w:lang w:val="en-US" w:eastAsia="zh-CN" w:bidi="ar-SA"/>
        </w:rPr>
        <w:t>与上年度相比，收、支总计各减少4297.22万元，下降73.63%，主要原因是本年度业务量减少、政府性基金收入支出减少。</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二、收入决算情况说明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黑体" w:hAnsi="黑体" w:eastAsia="黑体" w:cs="黑体"/>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年度收入合计</w:t>
      </w:r>
      <w:r>
        <w:rPr>
          <w:rFonts w:hint="eastAsia" w:ascii="仿宋_GB2312" w:hAnsi="Times New Roman" w:eastAsia="仿宋_GB2312"/>
          <w:sz w:val="32"/>
          <w:szCs w:val="32"/>
          <w:lang w:val="en-US" w:eastAsia="zh-CN"/>
        </w:rPr>
        <w:t>1538.71</w:t>
      </w:r>
      <w:r>
        <w:rPr>
          <w:rFonts w:hint="eastAsia" w:ascii="仿宋_GB2312" w:hAnsi="仿宋_GB2312" w:eastAsia="仿宋_GB2312" w:cs="仿宋_GB2312"/>
          <w:sz w:val="32"/>
          <w:szCs w:val="32"/>
          <w:lang w:val="en-US" w:eastAsia="zh-CN"/>
        </w:rPr>
        <w:t>万元，其中：财政拨款收入1538.71万元，占100.00%。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三、支出决算情况说明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年度支出合计</w:t>
      </w:r>
      <w:r>
        <w:rPr>
          <w:rFonts w:hint="eastAsia" w:ascii="仿宋_GB2312" w:hAnsi="Times New Roman" w:eastAsia="仿宋_GB2312"/>
          <w:sz w:val="32"/>
          <w:szCs w:val="32"/>
          <w:lang w:val="en-US" w:eastAsia="zh-CN"/>
        </w:rPr>
        <w:t>1538.71</w:t>
      </w:r>
      <w:r>
        <w:rPr>
          <w:rFonts w:hint="eastAsia" w:ascii="仿宋_GB2312" w:hAnsi="仿宋_GB2312" w:eastAsia="仿宋_GB2312" w:cs="仿宋_GB2312"/>
          <w:sz w:val="32"/>
          <w:szCs w:val="32"/>
          <w:lang w:val="en-US" w:eastAsia="zh-CN"/>
        </w:rPr>
        <w:t>万元，其中：基本支出510.87万元，占33.20%;项目支出1027.84万元，占66.80%。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四、财政拨款收入支出决算总体情况说明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eastAsia="仿宋_GB2312"/>
          <w:sz w:val="32"/>
          <w:szCs w:val="32"/>
          <w:lang w:val="en-US" w:eastAsia="zh-CN"/>
        </w:rPr>
        <w:t>年度财政拨款收、支总计均为</w:t>
      </w:r>
      <w:r>
        <w:rPr>
          <w:rFonts w:hint="eastAsia" w:ascii="仿宋" w:hAnsi="仿宋" w:eastAsia="仿宋"/>
          <w:sz w:val="32"/>
          <w:szCs w:val="32"/>
          <w:lang w:val="en-US" w:eastAsia="zh-CN"/>
        </w:rPr>
        <w:t>1538.71</w:t>
      </w:r>
      <w:r>
        <w:rPr>
          <w:rFonts w:hint="eastAsia" w:ascii="仿宋_GB2312" w:eastAsia="仿宋_GB2312"/>
          <w:sz w:val="32"/>
          <w:szCs w:val="32"/>
          <w:lang w:val="en-US" w:eastAsia="zh-CN"/>
        </w:rPr>
        <w:t>万元。</w:t>
      </w:r>
      <w:r>
        <w:rPr>
          <w:rFonts w:hint="eastAsia" w:ascii="仿宋_GB2312" w:hAnsi="仿宋_GB2312" w:eastAsia="仿宋_GB2312" w:cs="仿宋_GB2312"/>
          <w:sz w:val="32"/>
          <w:szCs w:val="32"/>
          <w:lang w:val="en-US" w:eastAsia="zh-CN"/>
        </w:rPr>
        <w:t>与上年度相比，财政拨款收、支总计各减少4297.22万元，下降73.63%，主要原因是本年度</w:t>
      </w:r>
      <w:r>
        <w:rPr>
          <w:rFonts w:hint="eastAsia" w:ascii="仿宋" w:hAnsi="仿宋" w:eastAsia="仿宋" w:cs="仿宋"/>
          <w:snapToGrid/>
          <w:color w:val="auto"/>
          <w:kern w:val="2"/>
          <w:sz w:val="32"/>
          <w:szCs w:val="32"/>
          <w:highlight w:val="none"/>
          <w:lang w:val="en-US" w:eastAsia="zh-CN" w:bidi="ar-SA"/>
        </w:rPr>
        <w:t>业务量减少、政府性基金收入</w:t>
      </w:r>
      <w:r>
        <w:rPr>
          <w:rFonts w:hint="eastAsia" w:ascii="仿宋_GB2312" w:hAnsi="仿宋_GB2312" w:eastAsia="仿宋_GB2312" w:cs="仿宋_GB2312"/>
          <w:sz w:val="32"/>
          <w:szCs w:val="32"/>
          <w:lang w:val="en-US" w:eastAsia="zh-CN"/>
        </w:rPr>
        <w:t>减少。</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五、一般公共预算财政拨款支出决算情况说明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（一）总体情况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2024年度一般公共预算财政拨款支出1159.04万元，占支出合计的75.33%。与上年度相比，一般公共预算财政拨款支出减少1039.24万元，下降47.28%，主要原因是业务量减少，厉行节约，节俭开支。</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（二）结构情况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1159.04万元，主要用于以下方面：一般公共服务（类）支出797.06万元，占68.77%;社会保障和就业（类）支出50.02万元，占4.32%;卫生健康（类）支出47.03万元，占4.06%;农林水（类）支出242.21万元，占20.90%;住房保障（类）支出22.72万元，占1.96%。</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（三）具体情况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年度一般公共预算财政拨款支出年初预算为</w:t>
      </w:r>
      <w:r>
        <w:rPr>
          <w:rFonts w:hint="eastAsia" w:ascii="仿宋_GB2312" w:hAnsi="Times New Roman" w:eastAsia="仿宋_GB2312"/>
          <w:sz w:val="32"/>
          <w:szCs w:val="32"/>
          <w:highlight w:val="none"/>
          <w:lang w:val="en-US" w:eastAsia="zh-CN"/>
        </w:rPr>
        <w:t>689.18</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highlight w:val="none"/>
          <w:lang w:val="en-US" w:eastAsia="zh-CN"/>
        </w:rPr>
        <w:t>1159.04</w:t>
      </w:r>
      <w:r>
        <w:rPr>
          <w:rFonts w:hint="eastAsia" w:ascii="仿宋_GB2312" w:hAnsi="仿宋_GB2312" w:eastAsia="仿宋_GB2312" w:cs="仿宋_GB2312"/>
          <w:sz w:val="32"/>
          <w:szCs w:val="32"/>
          <w:lang w:val="en-US" w:eastAsia="zh-CN"/>
        </w:rPr>
        <w:t>万元，完成年初预算的</w:t>
      </w:r>
      <w:r>
        <w:rPr>
          <w:rFonts w:hint="eastAsia" w:ascii="仿宋_GB2312" w:hAnsi="仿宋_GB2312" w:eastAsia="仿宋_GB2312" w:cs="仿宋_GB2312"/>
          <w:sz w:val="32"/>
          <w:szCs w:val="32"/>
          <w:highlight w:val="none"/>
          <w:lang w:val="en-US" w:eastAsia="zh-CN"/>
        </w:rPr>
        <w:t>168.18</w:t>
      </w:r>
      <w:r>
        <w:rPr>
          <w:rFonts w:hint="eastAsia" w:ascii="仿宋_GB2312" w:hAnsi="仿宋_GB2312" w:eastAsia="仿宋_GB2312" w:cs="仿宋_GB2312"/>
          <w:sz w:val="32"/>
          <w:szCs w:val="32"/>
          <w:lang w:val="en-US" w:eastAsia="zh-CN"/>
        </w:rPr>
        <w:t>%。其中：</w:t>
      </w:r>
    </w:p>
    <w:p>
      <w:pPr>
        <w:keepNext w:val="0"/>
        <w:keepLines w:val="0"/>
        <w:pageBreakBefore w:val="0"/>
        <w:widowControl/>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一般公共服务支出（类）人大事务（款）行政运行（项）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2.70</w:t>
      </w:r>
      <w:r>
        <w:rPr>
          <w:rFonts w:hint="eastAsia" w:ascii="仿宋" w:hAnsi="仿宋" w:eastAsia="仿宋" w:cs="仿宋_GB2312"/>
          <w:sz w:val="32"/>
          <w:szCs w:val="32"/>
          <w:lang w:val="en-US" w:eastAsia="zh-CN"/>
        </w:rPr>
        <w:t>万元，支出决算为万元。决算数与年初预算数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业务需要，调整预算项目</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一般公共服务支出（类）人大事务（款）代表工作（项）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3.</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一般公共服务支出（类）政协事务（款）行政运行（项）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1.80</w:t>
      </w:r>
      <w:r>
        <w:rPr>
          <w:rFonts w:hint="eastAsia" w:ascii="仿宋" w:hAnsi="仿宋" w:eastAsia="仿宋" w:cs="仿宋_GB2312"/>
          <w:sz w:val="32"/>
          <w:szCs w:val="32"/>
          <w:lang w:val="en-US" w:eastAsia="zh-CN"/>
        </w:rPr>
        <w:t>万元，支出决算为万元。决算数与年初预算数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rPr>
        <w:t>业务需要，调整预算项目</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4.</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一般公共服务支出（类）政协事务（款）参政议政（项）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1.80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业务需要，调整预算项目</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5.</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一般公共服务支出（类）政府办公厅（室）及相关机构事务（款）行政运行（项）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211.98</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170.99</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，完成年初预算的80.66%</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业务量减少，厉行节约，节俭开支</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6.</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一般公共服务支出（类）政府办公厅（室）及相关机构事务（款）一般行政管理事务（项）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435.80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项目费资金增加，追加预算项目</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7.</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一般公共服务支出（类）政府办公厅（室）及相关机构事务（款）事业运行（项）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104.60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100.97</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，完成年初预算的96.53%</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厉行节约，节俭开支</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8.</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一般公共服务支出（类）政府办公厅（室）及相关机构事务（款）其他政府办公厅（室）及相关机构事务支出（项）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87.00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业务需求，调整预算项目</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9.</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一般公共服务支出（类）统计信息事务（款）一般行政管理事务（项）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0.50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业务需求，调整预算项目</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10.</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一般公共服务支出（类）统计信息事务（款）专项普查活动（项）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一般公共服务支出（类）群众团体事务（款）工会事务（项）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3.95</w:t>
      </w:r>
      <w:r>
        <w:rPr>
          <w:rFonts w:hint="eastAsia" w:ascii="仿宋" w:hAnsi="仿宋" w:eastAsia="仿宋" w:cs="仿宋_GB2312"/>
          <w:sz w:val="32"/>
          <w:szCs w:val="32"/>
          <w:lang w:val="en-US" w:eastAsia="zh-CN"/>
        </w:rPr>
        <w:t>万元，支出决算为万元。决算数与年初预算数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业务需求，调整预算项目</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12.</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社会保障和就业支出（类）行政事业单位养老支出（款）机关事业单位基本养老保险缴费支出（项）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31.59</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49.02</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，完成年初预算的155.18%</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人员增加，养老保险缴费指标增加，追加预算项目</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13.</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社会保障和就业支出（类）就业补助（款）就业见习补贴（项）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14.</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社会保障和就业支出（类）抚恤（款）死亡抚恤（项）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15.</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社会保障和就业支出（类）其他社会保障和就业支出（款）其他社会保障和就业支出（项）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3.86</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0.99</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，完成年初预算的25.76%</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本年度单位该项资金未及时清算完成</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16.</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卫生健康支出（类）行政事业单位医疗（款）行政单位医疗（项）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6.52</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15.89</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，完成年初预算的243.79%</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人员增加和调资，医疗保险缴费指标增加，追加预算项目</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17.</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卫生健康支出（类）行政事业单位医疗（款）事业单位医疗（项）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6.11</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6.11</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100</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w:t>
      </w:r>
      <w:r>
        <w:rPr>
          <w:rFonts w:hint="eastAsia" w:ascii="仿宋" w:hAnsi="仿宋" w:eastAsia="仿宋" w:cs="仿宋_GB2312"/>
          <w:sz w:val="32"/>
          <w:szCs w:val="32"/>
          <w:lang w:val="en-US" w:eastAsia="zh-CN"/>
        </w:rPr>
        <w:t>。决算数与年初预算数不</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18.</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卫生健康支出（类）行政事业单位医疗（款）其他行政事业单位医疗支出（项）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9.18</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19.03</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，完成年初预算的207.31%</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人员增加和调资，医疗保险缴费指标增加，追加预算项目</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19.</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卫生健康支出（类）医疗保障管理事务（款）其他医疗保障管理事务支出（项）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6.00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人员增加，医疗保险缴费指标增加，追加预算项目</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20.</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农林水支出（类）农业农村（款）防灾救灾（项）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2.83</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防灾救灾补助资金</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农林水支出（类）农业农村（款）其他农业农村支出（项）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22.</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农林水支出（类）农村综合改革（款）对村民委员会和村党支部的补助（项）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291.09</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239.38</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，完成年初预算的82.24%</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本年度单位该项资金未及时清算完成</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23.</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住房保障支出（类）住房改革支出（款）住房公积金（项）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15.80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22.72</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，完成年初预算的143.80%</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人员增加和调资需求，追加预算项目</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24.</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住房保障支出（类）城乡社区住宅（款）其他城乡社区住宅支出（项）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六、一般公共预算财政拨款基本支出决算情况说明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年度一般公共预算财政拨款基本支出</w:t>
      </w:r>
      <w:r>
        <w:rPr>
          <w:rFonts w:hint="eastAsia" w:ascii="仿宋_GB2312" w:hAnsi="Times New Roman" w:eastAsia="仿宋_GB2312"/>
          <w:sz w:val="32"/>
          <w:szCs w:val="32"/>
          <w:lang w:val="en-US" w:eastAsia="zh-CN"/>
        </w:rPr>
        <w:t>510.87</w:t>
      </w:r>
      <w:r>
        <w:rPr>
          <w:rFonts w:hint="eastAsia" w:ascii="仿宋_GB2312" w:hAnsi="仿宋_GB2312" w:eastAsia="仿宋_GB2312" w:cs="仿宋_GB2312"/>
          <w:sz w:val="32"/>
          <w:szCs w:val="32"/>
          <w:lang w:val="en-US" w:eastAsia="zh-CN"/>
        </w:rPr>
        <w:t>万元。其中：人员经费</w:t>
      </w:r>
      <w:r>
        <w:rPr>
          <w:rFonts w:hint="eastAsia" w:ascii="仿宋_GB2312" w:hAnsi="Times New Roman" w:eastAsia="仿宋_GB2312"/>
          <w:sz w:val="32"/>
          <w:szCs w:val="32"/>
          <w:lang w:val="en-US" w:eastAsia="zh-CN"/>
        </w:rPr>
        <w:t>498.91</w:t>
      </w:r>
      <w:r>
        <w:rPr>
          <w:rFonts w:hint="eastAsia" w:ascii="仿宋_GB2312" w:hAnsi="仿宋_GB2312" w:eastAsia="仿宋_GB2312" w:cs="仿宋_GB2312"/>
          <w:sz w:val="32"/>
          <w:szCs w:val="32"/>
          <w:lang w:val="en-US" w:eastAsia="zh-CN"/>
        </w:rPr>
        <w:t>万元，主要包括：基本工资、津贴补贴、奖金、绩效工资、机关事业单位基本养老保险缴费、职工基本医疗保险缴费、其他社会保障缴费、住房公积金、生活补助；公用经费</w:t>
      </w:r>
      <w:r>
        <w:rPr>
          <w:rFonts w:hint="eastAsia" w:ascii="仿宋_GB2312" w:hAnsi="Times New Roman" w:eastAsia="仿宋_GB2312"/>
          <w:sz w:val="32"/>
          <w:szCs w:val="32"/>
          <w:lang w:val="en-US" w:eastAsia="zh-CN"/>
        </w:rPr>
        <w:t>11.96</w:t>
      </w:r>
      <w:r>
        <w:rPr>
          <w:rFonts w:hint="eastAsia" w:ascii="仿宋_GB2312" w:hAnsi="仿宋_GB2312" w:eastAsia="仿宋_GB2312" w:cs="仿宋_GB2312"/>
          <w:sz w:val="32"/>
          <w:szCs w:val="32"/>
          <w:lang w:val="en-US" w:eastAsia="zh-CN"/>
        </w:rPr>
        <w:t>万元，主要包括：办公费、印刷费、电费、维修（护）费、其他交通费用、其他商品和服务支出。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七、政府性基金预算财政拨款支出决算情况说明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2024年度政府性基金预算财政拨款支出年初预算为0.00万元，支出决算为379.67万元，完成年初预算的100.00%，决算数与年初预算数存在差异的主要原因是业务调整，追加项目支出。主要用于征地和拆迁补偿支出。年末无结转结余资金。</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八、国有资本经营预算财政拨款支出决算情况说明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我部门2024年没有使用国有资本经营预算财政拨款安排的支出。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九、一般公共预算财政拨款“三公”经费支出决算情况说明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（一）一般公共预算财政拨款“三公”经费支出决算总体情况说明。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年度一般公共预算财政拨款“三公”经费支出预算为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万元，完成年初预算的0.00%。</w:t>
      </w:r>
      <w:r>
        <w:rPr>
          <w:rFonts w:hint="eastAsia" w:ascii="仿宋" w:hAnsi="仿宋" w:eastAsia="仿宋" w:cs="Times New Roman"/>
          <w:sz w:val="32"/>
          <w:szCs w:val="32"/>
          <w:lang w:val="en-US" w:eastAsia="zh-CN"/>
        </w:rPr>
        <w:t>2024年度“三公”经费支出决算数与预算数无差异。</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（二）一般公共预算财政拨款“三公”经费支出决算具体情况说明。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年度一般公共预算财政拨款“三公”经费支出决算中，因公出国（境）费支出决算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万元，占0.00%；公务用车购置及运行费支出决算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万元，占0.00%；公务接待费支出决算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万元，占0.00%。具体情况如下：</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1．因公出国（境）费</w:t>
      </w:r>
      <w:r>
        <w:rPr>
          <w:rFonts w:hint="eastAsia" w:ascii="仿宋_GB2312" w:hAnsi="仿宋_GB2312" w:eastAsia="仿宋_GB2312" w:cs="仿宋_GB2312"/>
          <w:sz w:val="32"/>
          <w:szCs w:val="32"/>
          <w:lang w:val="en-US" w:eastAsia="zh-CN"/>
        </w:rPr>
        <w:t>预算为0.00万元，支出决算为0.00万元。决算数与预算数无差异。全年因公出国（境）团组0个，累计0人次。</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2．公务用车购置及运行费</w:t>
      </w:r>
      <w:r>
        <w:rPr>
          <w:rFonts w:hint="eastAsia" w:ascii="仿宋_GB2312" w:hAnsi="仿宋_GB2312" w:eastAsia="仿宋_GB2312" w:cs="仿宋_GB2312"/>
          <w:sz w:val="32"/>
          <w:szCs w:val="32"/>
          <w:lang w:val="en-US" w:eastAsia="zh-CN"/>
        </w:rPr>
        <w:t>预算为0.00万元，支出决算为0.00万元。决算数与预算数无差异。其中：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公务用车购置支出</w:t>
      </w:r>
      <w:r>
        <w:rPr>
          <w:rFonts w:hint="eastAsia" w:ascii="仿宋_GB2312" w:hAnsi="仿宋_GB2312" w:eastAsia="仿宋_GB2312" w:cs="仿宋_GB2312"/>
          <w:sz w:val="32"/>
          <w:szCs w:val="32"/>
          <w:lang w:val="en-US" w:eastAsia="zh-CN"/>
        </w:rPr>
        <w:t>为0.00万元，购置车辆0台。</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公务用车运行维护支出</w:t>
      </w:r>
      <w:r>
        <w:rPr>
          <w:rFonts w:hint="eastAsia" w:ascii="仿宋_GB2312" w:hAnsi="仿宋_GB2312" w:eastAsia="仿宋_GB2312" w:cs="仿宋_GB2312"/>
          <w:sz w:val="32"/>
          <w:szCs w:val="32"/>
          <w:lang w:val="en-US" w:eastAsia="zh-CN"/>
        </w:rPr>
        <w:t>0.00万元。2024年期末，部门开支财政拨款的公务用车保有量为0辆。</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3.公务接待费</w:t>
      </w:r>
      <w:r>
        <w:rPr>
          <w:rFonts w:hint="eastAsia" w:ascii="仿宋_GB2312" w:hAnsi="仿宋_GB2312" w:eastAsia="仿宋_GB2312" w:cs="仿宋_GB2312"/>
          <w:sz w:val="32"/>
          <w:szCs w:val="32"/>
          <w:lang w:val="en-US" w:eastAsia="zh-CN"/>
        </w:rPr>
        <w:t>预算为0.00万元，支出决算为0.00万元，完成预算的0.00%。决算数与预算数无差异。其中：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外宾接待支出</w:t>
      </w:r>
      <w:r>
        <w:rPr>
          <w:rFonts w:hint="eastAsia" w:ascii="仿宋_GB2312" w:hAnsi="仿宋_GB2312" w:eastAsia="仿宋_GB2312" w:cs="仿宋_GB2312"/>
          <w:sz w:val="32"/>
          <w:szCs w:val="32"/>
          <w:lang w:val="en-US" w:eastAsia="zh-CN"/>
        </w:rPr>
        <w:t>0.00万元。2024年共接待国（境）外来访团组0个、来访外宾0人次（不包含陪同人员）。</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其他国内公务接待支出0</w:t>
      </w:r>
      <w:r>
        <w:rPr>
          <w:rFonts w:hint="eastAsia" w:ascii="仿宋_GB2312" w:hAnsi="仿宋_GB2312" w:eastAsia="仿宋_GB2312" w:cs="仿宋_GB2312"/>
          <w:sz w:val="32"/>
          <w:szCs w:val="32"/>
          <w:lang w:val="en-US" w:eastAsia="zh-CN"/>
        </w:rPr>
        <w:t>万元。2024年共接待国内来访团组0个、来宾0人次（不包括陪同人员）。</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十、机关运行经费支出情况说明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 w:hAnsi="仿宋" w:eastAsia="仿宋" w:cs="仿宋"/>
          <w:snapToGrid/>
          <w:color w:val="000000"/>
          <w:kern w:val="2"/>
          <w:sz w:val="32"/>
          <w:szCs w:val="32"/>
          <w:lang w:val="en-US" w:eastAsia="zh-CN" w:bidi="ar-SA"/>
        </w:rPr>
      </w:pPr>
      <w:r>
        <w:rPr>
          <w:rFonts w:hint="eastAsia" w:ascii="仿宋" w:hAnsi="仿宋" w:eastAsia="仿宋" w:cs="仿宋"/>
          <w:snapToGrid/>
          <w:color w:val="000000"/>
          <w:kern w:val="2"/>
          <w:sz w:val="32"/>
          <w:szCs w:val="32"/>
          <w:lang w:val="en-US" w:eastAsia="zh-CN" w:bidi="ar-SA"/>
        </w:rPr>
        <w:t>我部门不是行政机关，也不是参照公务员法管理的事业部门，没有机关运行经费支出。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十一、政府采购支出情况说明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hAnsi="Times New Roman" w:eastAsia="仿宋_GB2312" w:cs="Times New Roman"/>
          <w:sz w:val="32"/>
          <w:szCs w:val="32"/>
          <w:lang w:val="en-US" w:eastAsia="zh-CN"/>
        </w:rPr>
        <w:t>2024</w:t>
      </w:r>
      <w:r>
        <w:rPr>
          <w:rFonts w:hint="eastAsia" w:ascii="仿宋_GB2312" w:hAnsi="Times New Roman" w:eastAsia="仿宋_GB2312" w:cs="Times New Roman"/>
          <w:sz w:val="32"/>
          <w:szCs w:val="32"/>
          <w:lang w:val="en-US" w:eastAsia="zh-CN"/>
        </w:rPr>
        <w:t>年度政府采购支出总额0.00万元，其中：政府采购货物支出0.00万元、政府采购工程支出0.00万元、政府采购服务支出0.00万元。授予中小企业合同金额0.00万元，占政府采购支出总额的0.00%，其中：授予小微企业合同金额0.00万元，占授予中小</w:t>
      </w:r>
      <w:r>
        <w:rPr>
          <w:rFonts w:ascii="仿宋_GB2312" w:hAnsi="Times New Roman" w:eastAsia="仿宋_GB2312" w:cs="Times New Roman"/>
          <w:sz w:val="32"/>
          <w:szCs w:val="32"/>
          <w:lang w:val="en-US" w:eastAsia="zh-CN"/>
        </w:rPr>
        <w:t>企业合同金额</w:t>
      </w:r>
      <w:r>
        <w:rPr>
          <w:rFonts w:hint="eastAsia" w:ascii="仿宋_GB2312" w:hAnsi="Times New Roman" w:eastAsia="仿宋_GB2312" w:cs="Times New Roman"/>
          <w:sz w:val="32"/>
          <w:szCs w:val="32"/>
          <w:lang w:val="en-US" w:eastAsia="zh-CN"/>
        </w:rPr>
        <w:t>的0.00%。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十二、国有资产占用情况说明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w:t>
      </w:r>
      <w:r>
        <w:rPr>
          <w:rFonts w:hint="eastAsia" w:ascii="仿宋_GB2312" w:hAnsi="Times New Roman" w:eastAsia="仿宋_GB2312" w:cs="Times New Roman"/>
          <w:sz w:val="32"/>
          <w:szCs w:val="32"/>
          <w:lang w:val="en-US" w:eastAsia="zh-CN"/>
        </w:rPr>
        <w:t>024年期末，我部门共有车辆0辆，其中：省级领导干部用车0辆、主要领导干部用车0辆、机要通信用车0辆、应急保障车0辆、执法执勤用车0辆、特种专业技术用车0辆、离退休干部用车0辆、其他用车0辆；单位价值100万元（含）以上设备0台（套）</w:t>
      </w:r>
      <w:r>
        <w:rPr>
          <w:rFonts w:hint="eastAsia" w:ascii="仿宋_GB2312" w:hAnsi="仿宋_GB2312" w:eastAsia="仿宋_GB2312" w:cs="仿宋_GB2312"/>
          <w:sz w:val="32"/>
          <w:szCs w:val="32"/>
          <w:lang w:val="en-US" w:eastAsia="zh-CN"/>
        </w:rPr>
        <w:t>。</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十三、预算绩效评价情况说明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1"/>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（一）绩效评价工作开展情况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Times New Roman" w:eastAsia="仿宋_GB2312" w:cs="Times New Roman"/>
          <w:sz w:val="32"/>
          <w:szCs w:val="32"/>
          <w:lang w:val="en-US" w:eastAsia="zh-CN"/>
        </w:rPr>
      </w:pPr>
      <w:r>
        <w:rPr>
          <w:rFonts w:hint="eastAsia" w:ascii="仿宋" w:hAnsi="仿宋" w:eastAsia="仿宋" w:cs="仿宋"/>
          <w:kern w:val="2"/>
          <w:sz w:val="32"/>
          <w:szCs w:val="32"/>
          <w:lang w:val="en-US" w:eastAsia="zh-CN"/>
        </w:rPr>
        <w:t>2024年我部门高度重视绩效管理工作。强化绩效目标管理，对60个项目支出设置了绩效目标，根据绩效目标设置了绩效指标，涵盖成本指标、产出指标、效益指标和满意度指标等；扎实开展绩效监控，对绩效目标实现程度和预算执行进度进行“双监控”，监控中发现问题及时纠偏；全面开展绩效自评，对60个项目开展了绩效自评，涉及项目资金1172.34万元，逐步提高绩效自评质量。注重结果应用，将评价结果作为改进预算管理、资金分配和预算安排的重要依据。</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（二）项目绩效自评结果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sectPr>
          <w:pgSz w:w="11906" w:h="16838"/>
          <w:pgMar w:top="1440" w:right="1803" w:bottom="1440" w:left="1803" w:header="850" w:footer="992" w:gutter="0"/>
          <w:pgNumType w:fmt="numberInDash"/>
          <w:cols w:space="720" w:num="1"/>
          <w:docGrid w:type="lines" w:linePitch="317" w:charSpace="0"/>
        </w:sectPr>
      </w:pPr>
      <w:r>
        <w:rPr>
          <w:rFonts w:hint="eastAsia" w:ascii="仿宋" w:hAnsi="仿宋" w:eastAsia="仿宋" w:cs="仿宋"/>
          <w:kern w:val="2"/>
          <w:sz w:val="32"/>
          <w:szCs w:val="32"/>
          <w:lang w:val="en-US" w:eastAsia="zh-CN"/>
        </w:rPr>
        <w:t>我部门对2024年度60个项目支出进行了绩效自评，绩效自评平均得分99.28分。其中：自评结果57个为优，1个为良，1个为中，1个为差。从自评情况看，项目支出绩效管理的重视程度进一步提升，项目总体执行和完成情况较好，资金使用比较规范。</w:t>
      </w:r>
    </w:p>
    <w:tbl>
      <w:tblPr>
        <w:tblStyle w:val="2"/>
        <w:tblW w:w="0" w:type="auto"/>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392"/>
        <w:gridCol w:w="366"/>
        <w:gridCol w:w="1096"/>
        <w:gridCol w:w="766"/>
        <w:gridCol w:w="4222"/>
        <w:gridCol w:w="4563"/>
        <w:gridCol w:w="766"/>
        <w:gridCol w:w="601"/>
        <w:gridCol w:w="546"/>
        <w:gridCol w:w="76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0" w:type="auto"/>
            <w:gridSpan w:val="10"/>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项目支出绩效自评情况表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9" w:hRule="atLeast"/>
        </w:trPr>
        <w:tc>
          <w:tcPr>
            <w:tcW w:w="0" w:type="auto"/>
            <w:gridSpan w:val="10"/>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2025年</w:t>
            </w:r>
            <w:r>
              <w:rPr>
                <w:rFonts w:hint="eastAsia" w:ascii="宋体" w:hAnsi="宋体" w:cs="宋体"/>
                <w:i w:val="0"/>
                <w:iCs w:val="0"/>
                <w:color w:val="000000"/>
                <w:kern w:val="0"/>
                <w:sz w:val="21"/>
                <w:szCs w:val="21"/>
                <w:u w:val="none"/>
                <w:lang w:val="en-US" w:eastAsia="zh-CN" w:bidi="ar"/>
              </w:rPr>
              <w:t>8</w:t>
            </w:r>
            <w:r>
              <w:rPr>
                <w:rFonts w:hint="eastAsia" w:ascii="宋体" w:hAnsi="宋体" w:eastAsia="宋体" w:cs="宋体"/>
                <w:i w:val="0"/>
                <w:iCs w:val="0"/>
                <w:color w:val="000000"/>
                <w:kern w:val="0"/>
                <w:sz w:val="21"/>
                <w:szCs w:val="21"/>
                <w:u w:val="none"/>
                <w:lang w:val="en-US" w:eastAsia="zh-CN" w:bidi="ar"/>
              </w:rPr>
              <w:t>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项目名称</w:t>
            </w:r>
          </w:p>
        </w:tc>
        <w:tc>
          <w:tcPr>
            <w:tcW w:w="0" w:type="auto"/>
            <w:gridSpan w:val="8"/>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关于平安建设工作所需经费、平安建设创建购置电动车所需资金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主管部门</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郸城县洺南街道办事处</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实施单位</w:t>
            </w:r>
          </w:p>
        </w:tc>
        <w:tc>
          <w:tcPr>
            <w:tcW w:w="0" w:type="auto"/>
            <w:gridSpan w:val="4"/>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郸城县洺南街道办事处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项目资金                (万元)</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年初预算数</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全年预算数</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全年执行数</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分值</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执行率</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w:t>
            </w:r>
            <w:r>
              <w:rPr>
                <w:rStyle w:val="21"/>
                <w:rFonts w:hint="eastAsia" w:ascii="宋体" w:hAnsi="宋体" w:eastAsia="宋体" w:cs="宋体"/>
                <w:sz w:val="21"/>
                <w:szCs w:val="21"/>
                <w:lang w:val="en-US" w:eastAsia="zh-CN" w:bidi="ar"/>
              </w:rPr>
              <w:t xml:space="preserve"> 年度资金总额：</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100.0 %</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财政拨款</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100.0 %</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财政专户管理资金</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单位资金</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资金管理情况</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情况说明</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分值（20）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得分</w:t>
            </w: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存在问题和改进措施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安排科学性</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本项目的预算编制经过科学论证，预算内容与项目内容匹配，预算额度测算依据充分，预算额度按照标准编制，预算确定的项目资金量与工作任务相匹配。预算安排科学合理。</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拨付合规性</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本项目的资金拨付有完整的审批程序和手续，未出现审批程序和手续不合规情况。</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使用规范性</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本项目的资金使用符合国家财经法规和财务管理制度以及有关专项资金管理办法的规定，符合项目预算批复或合同规定的用途，不存在截留、挤占、挪用、虚列支出等情况。</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预算绩效管理情况</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本项目的资金已全部纳入预算绩效管理系统，完成了绩效目标设置，绩效监控、绩效自评价等预算绩效管理流程。</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年度总体目标</w:t>
            </w:r>
          </w:p>
        </w:tc>
        <w:tc>
          <w:tcPr>
            <w:tcW w:w="0" w:type="auto"/>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预期目标</w:t>
            </w:r>
          </w:p>
        </w:tc>
        <w:tc>
          <w:tcPr>
            <w:tcW w:w="0" w:type="auto"/>
            <w:gridSpan w:val="6"/>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94"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3"/>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提升辖区居民安全指数，加大平安建设工作</w:t>
            </w:r>
          </w:p>
        </w:tc>
        <w:tc>
          <w:tcPr>
            <w:tcW w:w="0" w:type="auto"/>
            <w:gridSpan w:val="6"/>
            <w:tcBorders>
              <w:top w:val="single" w:color="000000" w:sz="4" w:space="0"/>
              <w:left w:val="single" w:color="000000" w:sz="4" w:space="0"/>
              <w:bottom w:val="single" w:color="000000" w:sz="4" w:space="0"/>
              <w:right w:val="single" w:color="000000" w:sz="4" w:space="0"/>
            </w:tcBorders>
            <w:noWrap/>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加大平安建设工作。保障群众生命财产利益。</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10"/>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绩效指标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10"/>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一级指标</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二级指标</w:t>
            </w:r>
          </w:p>
        </w:tc>
        <w:tc>
          <w:tcPr>
            <w:tcW w:w="0" w:type="auto"/>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三级指标</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年度指标值</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实际值完成值</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分值</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得分</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偏差度</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偏差原因分析及改进措施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成本指标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经济成本指标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平安建设工作所需经费</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≤5万元</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5万元</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产出指标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数量指标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平安建设工作涉及居委会数</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≥12个</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12个</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质量指标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平安建设安全事故率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时效指标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平安建设工作及时性</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建设</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效益指标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社会效益指标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保障人民群众利益</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保障</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总分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bl>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right="0"/>
        <w:jc w:val="both"/>
        <w:textAlignment w:val="auto"/>
        <w:rPr>
          <w:rFonts w:hint="eastAsia" w:ascii="仿宋" w:hAnsi="仿宋" w:eastAsia="仿宋" w:cs="仿宋"/>
          <w:kern w:val="2"/>
          <w:sz w:val="32"/>
          <w:szCs w:val="32"/>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right="0"/>
        <w:jc w:val="both"/>
        <w:textAlignment w:val="auto"/>
        <w:rPr>
          <w:rFonts w:hint="eastAsia" w:ascii="仿宋" w:hAnsi="仿宋" w:eastAsia="仿宋" w:cs="仿宋"/>
          <w:kern w:val="2"/>
          <w:sz w:val="32"/>
          <w:szCs w:val="32"/>
          <w:lang w:val="en-US" w:eastAsia="zh-CN"/>
        </w:rPr>
      </w:pPr>
    </w:p>
    <w:tbl>
      <w:tblPr>
        <w:tblStyle w:val="2"/>
        <w:tblW w:w="0" w:type="auto"/>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384"/>
        <w:gridCol w:w="373"/>
        <w:gridCol w:w="1096"/>
        <w:gridCol w:w="766"/>
        <w:gridCol w:w="4222"/>
        <w:gridCol w:w="4564"/>
        <w:gridCol w:w="766"/>
        <w:gridCol w:w="601"/>
        <w:gridCol w:w="546"/>
        <w:gridCol w:w="76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0" w:type="auto"/>
            <w:gridSpan w:val="10"/>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项目支出绩效自评情况表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9" w:hRule="atLeast"/>
        </w:trPr>
        <w:tc>
          <w:tcPr>
            <w:tcW w:w="0" w:type="auto"/>
            <w:gridSpan w:val="10"/>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2025年</w:t>
            </w:r>
            <w:r>
              <w:rPr>
                <w:rFonts w:hint="eastAsia" w:ascii="宋体" w:hAnsi="宋体" w:cs="宋体"/>
                <w:i w:val="0"/>
                <w:iCs w:val="0"/>
                <w:color w:val="000000"/>
                <w:kern w:val="0"/>
                <w:sz w:val="21"/>
                <w:szCs w:val="21"/>
                <w:u w:val="none"/>
                <w:lang w:val="en-US" w:eastAsia="zh-CN" w:bidi="ar"/>
              </w:rPr>
              <w:t>8</w:t>
            </w:r>
            <w:r>
              <w:rPr>
                <w:rFonts w:hint="eastAsia" w:ascii="宋体" w:hAnsi="宋体" w:eastAsia="宋体" w:cs="宋体"/>
                <w:i w:val="0"/>
                <w:iCs w:val="0"/>
                <w:color w:val="000000"/>
                <w:kern w:val="0"/>
                <w:sz w:val="21"/>
                <w:szCs w:val="21"/>
                <w:u w:val="none"/>
                <w:lang w:val="en-US" w:eastAsia="zh-CN" w:bidi="ar"/>
              </w:rPr>
              <w:t>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项目名称</w:t>
            </w:r>
          </w:p>
        </w:tc>
        <w:tc>
          <w:tcPr>
            <w:tcW w:w="0" w:type="auto"/>
            <w:gridSpan w:val="8"/>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平安建设、环境保护、信访工作所需工作经费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主管部门</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郸城县洺南街道办事处</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实施单位</w:t>
            </w:r>
          </w:p>
        </w:tc>
        <w:tc>
          <w:tcPr>
            <w:tcW w:w="0" w:type="auto"/>
            <w:gridSpan w:val="4"/>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郸城县洺南街道办事处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项目资金                (万元)</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年初预算数</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全年预算数</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全年执行数</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分值</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执行率</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年度资金总额：</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100.0 %</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财政拨款</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100.0 %</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财政专户管理资金</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单位资金</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资金管理情况</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情况说明</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分值（20）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得分</w:t>
            </w: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存在问题和改进措施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安排科学性</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本项目的预算编制经过科学论证，预算内容与项目内容匹配，预算额度测算依据充分，预算额度按照标准编制，预算确定的项目资金量与工作任务相匹配。预算安排科学合理。</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拨付合规性</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本项目的资金拨付有完整的审批程序和手续，未出现审批程序和手续不合规情况。</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使用规范性</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本项目的资金使用符合国家财经法规和财务管理制度以及有关专项资金管理办法的规定，符合项目预算批复或合同规定的用途，不存在截留、挤占、挪用、虚列支出等情况。</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预算绩效管理情况</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本项目的资金已全部纳入预算绩效管理系统，完成了绩效目标设置，绩效监控、绩效自评价等预算绩效管理流程。</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gridSpan w:val="2"/>
            <w:tcBorders>
              <w:top w:val="single" w:color="000000" w:sz="4" w:space="0"/>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年度总体目标</w:t>
            </w:r>
          </w:p>
        </w:tc>
        <w:tc>
          <w:tcPr>
            <w:tcW w:w="0" w:type="auto"/>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预期目标</w:t>
            </w:r>
          </w:p>
        </w:tc>
        <w:tc>
          <w:tcPr>
            <w:tcW w:w="0" w:type="auto"/>
            <w:gridSpan w:val="6"/>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94"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3"/>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保障平安建设、环境保护、信访工作顺利开展。</w:t>
            </w:r>
          </w:p>
        </w:tc>
        <w:tc>
          <w:tcPr>
            <w:tcW w:w="0" w:type="auto"/>
            <w:gridSpan w:val="6"/>
            <w:tcBorders>
              <w:top w:val="single" w:color="000000" w:sz="4" w:space="0"/>
              <w:left w:val="single" w:color="000000" w:sz="4" w:space="0"/>
              <w:bottom w:val="single" w:color="000000" w:sz="4" w:space="0"/>
              <w:right w:val="single" w:color="000000" w:sz="4" w:space="0"/>
            </w:tcBorders>
            <w:noWrap/>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保障平安建设、环境保护、信访工作顺利开展。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10"/>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绩效指标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10"/>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一级指标</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二级指标</w:t>
            </w:r>
          </w:p>
        </w:tc>
        <w:tc>
          <w:tcPr>
            <w:tcW w:w="0" w:type="auto"/>
            <w:gridSpan w:val="2"/>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三级指标</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年度指标值</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实际值完成值</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分值</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得分</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偏差度</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偏差原因分析及改进措施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9"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成本指标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经济成本指标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工作经费</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≤9万元</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9万元</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产出指标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数量指标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涉及工作项目数</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≥3个</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3个</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质量指标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各项工作完成足额率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时效指标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各项工作完成及时性</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及时</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效益指标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社会效益指标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保障各项工作正常开展</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保障</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满意度指标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服务对象满意度指标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单位职工满意度</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总分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bl>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right="0"/>
        <w:jc w:val="both"/>
        <w:textAlignment w:val="auto"/>
        <w:rPr>
          <w:rFonts w:hint="eastAsia" w:ascii="仿宋" w:hAnsi="仿宋" w:eastAsia="仿宋" w:cs="仿宋"/>
          <w:kern w:val="2"/>
          <w:sz w:val="32"/>
          <w:szCs w:val="32"/>
          <w:lang w:val="en-US" w:eastAsia="zh-CN"/>
        </w:rPr>
        <w:sectPr>
          <w:pgSz w:w="16838" w:h="11906" w:orient="landscape"/>
          <w:pgMar w:top="1803" w:right="1440" w:bottom="1803" w:left="1440" w:header="850" w:footer="992" w:gutter="0"/>
          <w:pgNumType w:fmt="numberInDash"/>
          <w:cols w:space="720" w:num="1"/>
          <w:docGrid w:type="lines" w:linePitch="317" w:charSpace="0"/>
        </w:sect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pP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b/>
          <w:bCs/>
          <w:sz w:val="32"/>
          <w:szCs w:val="32"/>
          <w:lang w:val="en-US" w:eastAsia="zh-CN"/>
        </w:rPr>
        <w:t>（三）部门整体绩效自评结果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pPr>
      <w:r>
        <w:rPr>
          <w:rFonts w:hint="eastAsia" w:ascii="仿宋" w:hAnsi="仿宋" w:eastAsia="仿宋" w:cs="仿宋"/>
          <w:kern w:val="2"/>
          <w:sz w:val="32"/>
          <w:szCs w:val="32"/>
          <w:lang w:val="en-US" w:eastAsia="zh-CN"/>
        </w:rPr>
        <w:t>我部门对</w:t>
      </w:r>
      <w:r>
        <w:rPr>
          <w:rFonts w:ascii="仿宋" w:hAnsi="仿宋" w:eastAsia="仿宋" w:cs="仿宋"/>
          <w:kern w:val="2"/>
          <w:sz w:val="32"/>
          <w:szCs w:val="32"/>
          <w:lang w:val="en-US" w:eastAsia="zh-CN"/>
        </w:rPr>
        <w:t>202</w:t>
      </w:r>
      <w:r>
        <w:rPr>
          <w:rFonts w:hint="eastAsia" w:ascii="仿宋" w:hAnsi="仿宋" w:eastAsia="仿宋" w:cs="仿宋"/>
          <w:kern w:val="2"/>
          <w:sz w:val="32"/>
          <w:szCs w:val="32"/>
          <w:lang w:val="en-US" w:eastAsia="zh-CN"/>
        </w:rPr>
        <w:t>4年度部门整体支出进行绩效自评，得分为96.32分。从自评情况看，各项工作总体完成情况较好，部门履职效能进一步提升。</w:t>
      </w:r>
    </w:p>
    <w:tbl>
      <w:tblPr>
        <w:tblStyle w:val="2"/>
        <w:tblW w:w="0" w:type="auto"/>
        <w:tblInd w:w="98"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605"/>
        <w:gridCol w:w="484"/>
        <w:gridCol w:w="701"/>
        <w:gridCol w:w="1178"/>
        <w:gridCol w:w="1178"/>
        <w:gridCol w:w="667"/>
        <w:gridCol w:w="529"/>
        <w:gridCol w:w="697"/>
        <w:gridCol w:w="889"/>
        <w:gridCol w:w="889"/>
        <w:gridCol w:w="60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trPr>
        <w:tc>
          <w:tcPr>
            <w:tcW w:w="0" w:type="auto"/>
            <w:gridSpan w:val="11"/>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部门整体支出绩效自评情况表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11"/>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2025年</w:t>
            </w:r>
            <w:r>
              <w:rPr>
                <w:rFonts w:hint="eastAsia" w:ascii="宋体" w:hAnsi="宋体" w:cs="宋体"/>
                <w:i w:val="0"/>
                <w:iCs w:val="0"/>
                <w:color w:val="000000"/>
                <w:kern w:val="0"/>
                <w:sz w:val="21"/>
                <w:szCs w:val="21"/>
                <w:u w:val="none"/>
                <w:lang w:val="en-US" w:eastAsia="zh-CN" w:bidi="ar"/>
              </w:rPr>
              <w:t>8</w:t>
            </w:r>
            <w:r>
              <w:rPr>
                <w:rFonts w:hint="eastAsia" w:ascii="宋体" w:hAnsi="宋体" w:eastAsia="宋体" w:cs="宋体"/>
                <w:i w:val="0"/>
                <w:iCs w:val="0"/>
                <w:color w:val="000000"/>
                <w:kern w:val="0"/>
                <w:sz w:val="21"/>
                <w:szCs w:val="21"/>
                <w:u w:val="none"/>
                <w:lang w:val="en-US" w:eastAsia="zh-CN" w:bidi="ar"/>
              </w:rPr>
              <w:t>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gridSpan w:val="3"/>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部门（单位）名称</w:t>
            </w:r>
          </w:p>
        </w:tc>
        <w:tc>
          <w:tcPr>
            <w:tcW w:w="0" w:type="auto"/>
            <w:gridSpan w:val="8"/>
            <w:tcBorders>
              <w:top w:val="single" w:color="000000" w:sz="4" w:space="0"/>
              <w:left w:val="single" w:color="000000" w:sz="4" w:space="0"/>
              <w:bottom w:val="single" w:color="000000" w:sz="4" w:space="0"/>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郸城县洺南街道办事处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vMerge w:val="restart"/>
            <w:tcBorders>
              <w:top w:val="single" w:color="000000" w:sz="4" w:space="0"/>
              <w:left w:val="single" w:color="000000" w:sz="4" w:space="0"/>
              <w:bottom w:val="nil"/>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部门整体支出情况(万元)</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年初预算数</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全年预算数</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全年执行数</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分值</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执行率</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vMerge w:val="continue"/>
            <w:tcBorders>
              <w:top w:val="single" w:color="000000" w:sz="4" w:space="0"/>
              <w:left w:val="single" w:color="000000" w:sz="4" w:space="0"/>
              <w:bottom w:val="nil"/>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部门预算总额</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689.18</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2104.52</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1575.95</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74.88 %</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8.32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vMerge w:val="continue"/>
            <w:tcBorders>
              <w:top w:val="single" w:color="000000" w:sz="4" w:space="0"/>
              <w:left w:val="single" w:color="000000" w:sz="4" w:space="0"/>
              <w:bottom w:val="nil"/>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资金来源：（1）财政拨款</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689.18</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2035.94</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1538.71</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75.58 %</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vMerge w:val="continue"/>
            <w:tcBorders>
              <w:top w:val="single" w:color="000000" w:sz="4" w:space="0"/>
              <w:left w:val="single" w:color="000000" w:sz="4" w:space="0"/>
              <w:bottom w:val="nil"/>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（2）财政专户管理资金</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vMerge w:val="continue"/>
            <w:tcBorders>
              <w:top w:val="single" w:color="000000" w:sz="4" w:space="0"/>
              <w:left w:val="single" w:color="000000" w:sz="4" w:space="0"/>
              <w:bottom w:val="nil"/>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（3）单位资金</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68.58</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37.24</w:t>
            </w:r>
          </w:p>
        </w:tc>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54.3 %</w:t>
            </w:r>
          </w:p>
        </w:tc>
        <w:tc>
          <w:tcPr>
            <w:tcW w:w="0" w:type="auto"/>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年度履职目标</w:t>
            </w:r>
          </w:p>
        </w:tc>
        <w:tc>
          <w:tcPr>
            <w:tcW w:w="0" w:type="auto"/>
            <w:gridSpan w:val="4"/>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预期目标</w:t>
            </w:r>
          </w:p>
        </w:tc>
        <w:tc>
          <w:tcPr>
            <w:tcW w:w="0" w:type="auto"/>
            <w:gridSpan w:val="6"/>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68"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4"/>
            <w:tcBorders>
              <w:top w:val="single" w:color="000000" w:sz="4" w:space="0"/>
              <w:left w:val="single" w:color="000000" w:sz="4" w:space="0"/>
              <w:bottom w:val="nil"/>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目标1：全面落实党风廉政建设。切实提高广大党员干部责任意识和纪律意识。把“不忘初心、牢记使命”主题教育与党风廉政教育相结合。把党风廉政建设和反腐败工作纳入全年重要工作，切实担负起全面从严治党主体责任。</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目标2：全面加强思想政治建设。抓思想政治建设，牢记初心使命，坚持把学习十九大精神和习近平新时代中国特色社会主义思想作为首要政治任务坚持党管意识形态工作，全面落实意识形态第一责任制。</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目标3：完成县委县政府各项工作，争取在年度考核中达到数据排名前列。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目标4：推进实施乡村振兴战略，坚持把解决好“三农”问题作为全党工作重中之重。</w:t>
            </w:r>
          </w:p>
        </w:tc>
        <w:tc>
          <w:tcPr>
            <w:tcW w:w="0" w:type="auto"/>
            <w:gridSpan w:val="6"/>
            <w:tcBorders>
              <w:top w:val="single" w:color="000000" w:sz="4" w:space="0"/>
              <w:left w:val="single" w:color="000000" w:sz="4" w:space="0"/>
              <w:bottom w:val="nil"/>
              <w:right w:val="single" w:color="000000" w:sz="4" w:space="0"/>
            </w:tcBorders>
            <w:noWrap w:val="0"/>
            <w:vAlign w:val="top"/>
          </w:tcPr>
          <w:p>
            <w:pPr>
              <w:keepNext w:val="0"/>
              <w:keepLines w:val="0"/>
              <w:widowControl/>
              <w:suppressLineNumbers w:val="0"/>
              <w:jc w:val="center"/>
              <w:textAlignment w:val="top"/>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完成1：全面落实党风廉政建设。切实提高广大党员干部责任意识和纪律意识。把“不忘初心、牢记使命”主题教育与党风廉政教育相结合。把党风廉政建设和反腐败工作纳入全年重要工作，切实担负起全面从严治党主体责任。</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完成2：全面加强思想政治建设。抓思想政治建设，牢记初心使命，坚持把学习十九大精神和习近平新时代中国特色社会主义思想作为首要政治任务坚持党管意识形态工作，全面落实意识形态第一责任制。</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 xml:space="preserve">完成3：完成县委县政府各项工作，争取在年度考核中达到数据排名前列。     </w:t>
            </w:r>
            <w:r>
              <w:rPr>
                <w:rFonts w:hint="eastAsia" w:ascii="宋体" w:hAnsi="宋体" w:eastAsia="宋体" w:cs="宋体"/>
                <w:i w:val="0"/>
                <w:iCs w:val="0"/>
                <w:color w:val="000000"/>
                <w:kern w:val="0"/>
                <w:sz w:val="21"/>
                <w:szCs w:val="21"/>
                <w:u w:val="none"/>
                <w:lang w:val="en-US" w:eastAsia="zh-CN" w:bidi="ar"/>
              </w:rPr>
              <w:br w:type="textWrapping"/>
            </w:r>
            <w:r>
              <w:rPr>
                <w:rFonts w:hint="eastAsia" w:ascii="宋体" w:hAnsi="宋体" w:eastAsia="宋体" w:cs="宋体"/>
                <w:i w:val="0"/>
                <w:iCs w:val="0"/>
                <w:color w:val="000000"/>
                <w:kern w:val="0"/>
                <w:sz w:val="21"/>
                <w:szCs w:val="21"/>
                <w:u w:val="none"/>
                <w:lang w:val="en-US" w:eastAsia="zh-CN" w:bidi="ar"/>
              </w:rPr>
              <w:t>完成4：推进实施乡村振兴战略，坚持把解决好“三农”问题作为全党工作重中之重。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trPr>
        <w:tc>
          <w:tcPr>
            <w:tcW w:w="0" w:type="auto"/>
            <w:gridSpan w:val="11"/>
            <w:vMerge w:val="restart"/>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年度主要任务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 w:hRule="atLeast"/>
        </w:trPr>
        <w:tc>
          <w:tcPr>
            <w:tcW w:w="0" w:type="auto"/>
            <w:gridSpan w:val="11"/>
            <w:vMerge w:val="continue"/>
            <w:tcBorders>
              <w:top w:val="single" w:color="000000" w:sz="4" w:space="0"/>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0" w:hRule="atLeast"/>
        </w:trPr>
        <w:tc>
          <w:tcPr>
            <w:tcW w:w="0" w:type="auto"/>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任务名称</w:t>
            </w:r>
          </w:p>
        </w:tc>
        <w:tc>
          <w:tcPr>
            <w:tcW w:w="0" w:type="auto"/>
            <w:gridSpan w:val="3"/>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主要内容</w:t>
            </w:r>
          </w:p>
        </w:tc>
        <w:tc>
          <w:tcPr>
            <w:tcW w:w="0" w:type="auto"/>
            <w:gridSpan w:val="6"/>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任务1：推进基层党建工作。</w:t>
            </w:r>
          </w:p>
        </w:tc>
        <w:tc>
          <w:tcPr>
            <w:tcW w:w="0" w:type="auto"/>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推进基层党建工作，抓好党建作为政治责任和重要职责，将思想政治教育和意识形态工作贯穿于抓基层党建全过程。</w:t>
            </w:r>
          </w:p>
        </w:tc>
        <w:tc>
          <w:tcPr>
            <w:tcW w:w="0" w:type="auto"/>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推进基层党建工作，抓好党建作为政治责任和重要职责，将思想政治教育和意识形态工作贯穿于抓基层党建全过程。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任务2：创建文明城市工作。</w:t>
            </w:r>
          </w:p>
        </w:tc>
        <w:tc>
          <w:tcPr>
            <w:tcW w:w="0" w:type="auto"/>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创建文明城市工作，一手抓硬件设施升级，一手抓文明素质提升，整治活动给城市带来新变化，新面貌。</w:t>
            </w:r>
          </w:p>
        </w:tc>
        <w:tc>
          <w:tcPr>
            <w:tcW w:w="0" w:type="auto"/>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创建文明城市工作，一手抓硬件设施升级，一手抓文明素质提升，整治活动给城市带来新变化，新面貌。</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任务3：改善人居环境工作。</w:t>
            </w:r>
          </w:p>
        </w:tc>
        <w:tc>
          <w:tcPr>
            <w:tcW w:w="0" w:type="auto"/>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改善人居环境工作，加强对小街小巷综合整治，清理陈年垃圾，治理坑塘，整改旱厕，整洁路面和道路两侧对辖区内的小广告清理，为辖区居民营造环境优美的生产生活环境。</w:t>
            </w:r>
          </w:p>
        </w:tc>
        <w:tc>
          <w:tcPr>
            <w:tcW w:w="0" w:type="auto"/>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改善人居环境工作，加强对小街小巷综合整治，清理陈年垃圾，治理坑塘，整改旱厕，整洁路面和道路两侧对辖区内的小广告清理，为辖区居民营造环境优美的生产生活环境。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gridSpan w:val="11"/>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绩效指标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 w:hRule="atLeast"/>
        </w:trPr>
        <w:tc>
          <w:tcPr>
            <w:tcW w:w="0" w:type="auto"/>
            <w:gridSpan w:val="11"/>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一级指标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二级指标</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三级指标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年度指标值</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实际完成值</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分值</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得分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偏差度</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偏差原因分析及改进措施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投入管理指标</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工作目标管理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年度履职目标相关性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相关</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工作任务科学性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科学</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绩效指标合理性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合理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预算和财务管理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预算编制完整性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完整</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专项资金细化率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预算调整率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4000.00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因一部分资金较大项目的增加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结转结余率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“三公经费”控制率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政府采购执行率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决算真实性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真实</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资金使用合规性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合规</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管理制度健全性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健全</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预决算信息公开性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公开</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资产管理规范性</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规范</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绩效管理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绩效监控完成率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绩效目标编制完成率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绩效自评完成率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部门绩效评价完成率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评价结果应用率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产出指标</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重点工作任务完成</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重点工作任务1完成率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重点工作任务2完成率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重点工作任务3完成率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履职目标实现</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履职目标1实现率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履职目标2实现率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履职目标3实现率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履职目标4实现率</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效益指标</w:t>
            </w:r>
          </w:p>
        </w:tc>
        <w:tc>
          <w:tcPr>
            <w:tcW w:w="0" w:type="auto"/>
            <w:vMerge w:val="restart"/>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履职效益</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改善人居环境</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改善</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促进文明城市创建</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促进</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保障防汛救灾工作开展</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保障</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满意度</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社会公众满意度</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trPr>
        <w:tc>
          <w:tcPr>
            <w:tcW w:w="0" w:type="auto"/>
            <w:gridSpan w:val="6"/>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总分</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96.32</w:t>
            </w:r>
          </w:p>
        </w:tc>
        <w:tc>
          <w:tcPr>
            <w:tcW w:w="0" w:type="auto"/>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c>
          <w:tcPr>
            <w:tcW w:w="0" w:type="auto"/>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1"/>
                <w:szCs w:val="21"/>
                <w:u w:val="none"/>
              </w:rPr>
            </w:pPr>
          </w:p>
        </w:tc>
      </w:tr>
    </w:tbl>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right="0"/>
        <w:jc w:val="both"/>
        <w:textAlignment w:val="auto"/>
        <w:rPr>
          <w:rFonts w:hint="eastAsia" w:ascii="仿宋" w:hAnsi="仿宋" w:eastAsia="仿宋" w:cs="仿宋"/>
          <w:kern w:val="2"/>
          <w:sz w:val="32"/>
          <w:szCs w:val="32"/>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pPr>
    </w:p>
    <w:p>
      <w:pPr>
        <w:keepNext w:val="0"/>
        <w:keepLines w:val="0"/>
        <w:pageBreakBefore w:val="0"/>
        <w:widowControl/>
        <w:suppressLineNumbers w:val="0"/>
        <w:kinsoku/>
        <w:wordWrap/>
        <w:overflowPunct/>
        <w:topLinePunct w:val="0"/>
        <w:autoSpaceDN/>
        <w:bidi w:val="0"/>
        <w:adjustRightInd/>
        <w:snapToGrid/>
        <w:spacing w:before="0" w:beforeAutospacing="0" w:after="0" w:afterAutospacing="0" w:line="590" w:lineRule="exact"/>
        <w:ind w:left="0" w:right="0" w:firstLine="643" w:firstLineChars="200"/>
        <w:jc w:val="both"/>
        <w:textAlignment w:val="auto"/>
        <w:outlineLvl w:val="2"/>
        <w:rPr>
          <w:rFonts w:hint="eastAsia" w:ascii="楷体_GB2312" w:hAnsi="Times New Roman" w:eastAsia="楷体_GB2312" w:cs="楷体_GB2312"/>
          <w:b/>
          <w:bCs/>
          <w:kern w:val="2"/>
          <w:sz w:val="32"/>
          <w:szCs w:val="32"/>
          <w:lang w:val="en-US" w:eastAsia="zh-CN"/>
        </w:rPr>
      </w:pPr>
      <w:r>
        <w:rPr>
          <w:rFonts w:hint="eastAsia" w:ascii="楷体_GB2312" w:hAnsi="Times New Roman" w:eastAsia="楷体_GB2312" w:cs="楷体_GB2312"/>
          <w:b/>
          <w:bCs/>
          <w:kern w:val="2"/>
          <w:sz w:val="32"/>
          <w:szCs w:val="32"/>
          <w:lang w:val="en-US" w:eastAsia="zh-CN"/>
        </w:rPr>
        <w:t>（四）重点绩效评价结果</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_GB2312" w:hAnsi="Times New Roman" w:eastAsia="仿宋_GB2312" w:cs="Times New Roman"/>
          <w:sz w:val="32"/>
          <w:szCs w:val="32"/>
          <w:lang w:val="en-US" w:eastAsia="zh-CN"/>
        </w:rPr>
        <w:sectPr>
          <w:pgSz w:w="11906" w:h="16838"/>
          <w:pgMar w:top="1440" w:right="1803" w:bottom="1440" w:left="1803" w:header="850" w:footer="992" w:gutter="0"/>
          <w:pgNumType w:fmt="numberInDash"/>
          <w:cols w:space="720" w:num="1"/>
          <w:docGrid w:type="lines" w:linePitch="317" w:charSpace="0"/>
        </w:sectPr>
      </w:pPr>
      <w:r>
        <w:rPr>
          <w:rFonts w:hint="eastAsia" w:ascii="仿宋" w:hAnsi="仿宋" w:eastAsia="仿宋" w:cs="仿宋"/>
          <w:kern w:val="2"/>
          <w:sz w:val="32"/>
          <w:szCs w:val="32"/>
          <w:lang w:val="en-US" w:eastAsia="zh-CN"/>
        </w:rPr>
        <w:t>财政部门未选取我部门2024年度预算项目开展财政重点评价。</w:t>
      </w: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第四部分  名词解释</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bookmarkStart w:id="0" w:name="_GoBack"/>
      <w:bookmarkEnd w:id="0"/>
      <w:r>
        <w:rPr>
          <w:rFonts w:hint="eastAsia" w:ascii="仿宋_GB2312" w:hAnsi="仿宋_GB2312" w:eastAsia="仿宋_GB2312" w:cs="仿宋_GB2312"/>
          <w:sz w:val="32"/>
          <w:szCs w:val="32"/>
          <w:lang w:val="en-US" w:eastAsia="zh-CN"/>
        </w:rPr>
        <w:t>一、财政拨款收入：单位从同级政府财政部门取得的财政预算资金。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二、事业收入：事业单位开展专业业务活动及其辅助活动取得的收入。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三、上级补助收入：事业单位从主管部门和上级单位取得的非财政补助收入。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四、附属单位上缴收入：事业单位取得附属独立核算单位根据有关规定上缴的收入。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五、经营收入：事业单位在专业业务活动及其辅助活动之外开展非独立核算经营活动取得的收入。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六、其他收入：单位取得的除“财政拨款收入”、“事业收入”、“上级补助收入”、“附属单位上缴收入”、“经营收入”以外的各项收入。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七、使用非财政拨款结余（含专用结余）：指事业单位使用以前年度积累的非财政拨款结余弥补当年收支差额的金额。</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八、</w:t>
      </w:r>
      <w:r>
        <w:rPr>
          <w:rFonts w:ascii="仿宋_GB2312" w:hAnsi="仿宋_GB2312" w:eastAsia="仿宋_GB2312" w:cs="仿宋_GB2312"/>
          <w:sz w:val="32"/>
          <w:szCs w:val="32"/>
          <w:lang w:val="en-US" w:eastAsia="zh-CN"/>
        </w:rPr>
        <w:t>年初结转和结余：指单位以前年度尚未完成、结转到本年仍按原规定用途继续使用的资金，或项目已完成等产生的结余资金。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九、基本支出：为保障机构正常运转、完成日常工作任务而发生的人员支出和公用支出。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十、项目支出：基本支出之外为完成特定行政任务和事业发展目标所发生的支出。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十一</w:t>
      </w:r>
      <w:r>
        <w:rPr>
          <w:rFonts w:ascii="仿宋_GB2312" w:hAnsi="仿宋_GB2312" w:eastAsia="仿宋_GB2312" w:cs="仿宋_GB2312"/>
          <w:sz w:val="32"/>
          <w:szCs w:val="32"/>
          <w:lang w:val="en-US" w:eastAsia="zh-CN"/>
        </w:rPr>
        <w:t>、经营支出：指事业单位在专业业务活动及其辅助活动之外开展非独立核算经营活动发生的支出。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十二、工资福利支出：单位支付给在职职工和编制外长期聘用人员的各类劳动报酬，以及为上述人员缴纳的各项社会保险费等。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十三、商品和服务支出：单位购买商品和服务的支出。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十四、对个人和家庭的补助支出：单位用于对个人和家庭的补助支出。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十五、</w:t>
      </w:r>
      <w:r>
        <w:rPr>
          <w:rFonts w:ascii="仿宋_GB2312" w:hAnsi="仿宋_GB2312" w:eastAsia="仿宋_GB2312" w:cs="仿宋_GB2312"/>
          <w:sz w:val="32"/>
          <w:szCs w:val="32"/>
          <w:lang w:val="en-US" w:eastAsia="zh-CN"/>
        </w:rPr>
        <w:t>结余分配：指事业单位按照会计制度规定缴纳的所得税、提取的专用结余以及转入非财政拨款结余的金额等。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十六、年末结转和</w:t>
      </w:r>
      <w:r>
        <w:rPr>
          <w:rFonts w:ascii="仿宋_GB2312" w:hAnsi="仿宋_GB2312" w:eastAsia="仿宋_GB2312" w:cs="仿宋_GB2312"/>
          <w:sz w:val="32"/>
          <w:szCs w:val="32"/>
          <w:lang w:val="en-US" w:eastAsia="zh-CN"/>
        </w:rPr>
        <w:t>结余</w:t>
      </w:r>
      <w:r>
        <w:rPr>
          <w:rFonts w:hint="eastAsia" w:ascii="仿宋_GB2312" w:hAnsi="仿宋_GB2312" w:eastAsia="仿宋_GB2312" w:cs="仿宋_GB2312"/>
          <w:sz w:val="32"/>
          <w:szCs w:val="32"/>
          <w:lang w:val="en-US" w:eastAsia="zh-CN"/>
        </w:rPr>
        <w:t>：指</w:t>
      </w:r>
      <w:r>
        <w:rPr>
          <w:rFonts w:ascii="仿宋_GB2312" w:hAnsi="仿宋_GB2312" w:eastAsia="仿宋_GB2312" w:cs="仿宋_GB2312"/>
          <w:sz w:val="32"/>
          <w:szCs w:val="32"/>
          <w:lang w:val="en-US" w:eastAsia="zh-CN"/>
        </w:rPr>
        <w:t>单位按有关规定结转到下年或以后年度</w:t>
      </w:r>
      <w:r>
        <w:rPr>
          <w:rFonts w:hint="eastAsia" w:ascii="仿宋_GB2312" w:hAnsi="仿宋_GB2312" w:eastAsia="仿宋_GB2312" w:cs="仿宋_GB2312"/>
          <w:sz w:val="32"/>
          <w:szCs w:val="32"/>
          <w:lang w:val="en-US" w:eastAsia="zh-CN"/>
        </w:rPr>
        <w:t>继续</w:t>
      </w:r>
      <w:r>
        <w:rPr>
          <w:rFonts w:ascii="仿宋_GB2312" w:hAnsi="仿宋_GB2312" w:eastAsia="仿宋_GB2312" w:cs="仿宋_GB2312"/>
          <w:sz w:val="32"/>
          <w:szCs w:val="32"/>
          <w:lang w:val="en-US" w:eastAsia="zh-CN"/>
        </w:rPr>
        <w:t>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七、一般公共预算财政拨款“三公”经费：纳入同级财政一般公共预算管理“三公”经费，指单位使用一般公共预算财政拨款安排的因公出国（境）费、公务用车购置及运行费和公务接待费。其中，因公出国（境）费反映单位公务出国（境）的国际旅费、国外城市间交通费、住宿费、伙食费、培训费、公杂费等支出；公务用车购置及运行费反映单位公务用车车辆购置支出（含车辆购置税、牌照费）及公务用车燃料费、新能源汽车</w:t>
      </w:r>
      <w:r>
        <w:rPr>
          <w:rFonts w:ascii="仿宋_GB2312" w:hAnsi="仿宋_GB2312" w:eastAsia="仿宋_GB2312" w:cs="仿宋_GB2312"/>
          <w:sz w:val="32"/>
          <w:szCs w:val="32"/>
          <w:lang w:val="en-US" w:eastAsia="zh-CN"/>
        </w:rPr>
        <w:t>充电</w:t>
      </w:r>
      <w:r>
        <w:rPr>
          <w:rFonts w:hint="eastAsia" w:ascii="仿宋_GB2312" w:hAnsi="仿宋_GB2312" w:eastAsia="仿宋_GB2312" w:cs="仿宋_GB2312"/>
          <w:sz w:val="32"/>
          <w:szCs w:val="32"/>
          <w:lang w:val="en-US" w:eastAsia="zh-CN"/>
        </w:rPr>
        <w:t>费</w:t>
      </w:r>
      <w:r>
        <w:rPr>
          <w:rFonts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val="en-US" w:eastAsia="zh-CN"/>
        </w:rPr>
        <w:t>维修费、过路过桥费、保险费、安全奖励费用等支出；公务接待费反映单位按规定开支的各类公务接待（含外宾接待）支出。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八、机关运行经费：为保障行政单位（含参照公务员法管理的事业单位）运行用于购买货物和服务的各项资金，包括办公及印刷费、邮电费、差旅费、会议费、福利费、日常维修费、专用材料费、办公用房水电费、办公用房取暖费、办公用房物业管理费、公务用车运行维护费以及其他费用。</w:t>
      </w: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p>
    <w:sectPr>
      <w:pgSz w:w="11906" w:h="16838"/>
      <w:pgMar w:top="1440" w:right="1803" w:bottom="1440" w:left="1803"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2010600030101010101"/>
    <w:charset w:val="86"/>
    <w:family w:val="auto"/>
    <w:pitch w:val="default"/>
    <w:sig w:usb0="00000203" w:usb1="288F0000" w:usb2="00000006" w:usb3="00000000" w:csb0="00040001"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黑体">
    <w:altName w:val="方正黑体_GBK"/>
    <w:panose1 w:val="02010609060101010101"/>
    <w:charset w:val="00"/>
    <w:family w:val="auto"/>
    <w:pitch w:val="default"/>
    <w:sig w:usb0="800002BF" w:usb1="38CF7CFA" w:usb2="00000016" w:usb3="00000000" w:csb0="00040001" w:csb1="00000000"/>
  </w:font>
  <w:font w:name="方正黑体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00"/>
    <w:family w:val="modern"/>
    <w:pitch w:val="default"/>
    <w:sig w:usb0="00000001" w:usb1="080E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00"/>
    <w:family w:val="auto"/>
    <w:pitch w:val="default"/>
    <w:sig w:usb0="800002BF" w:usb1="38CF7CFA" w:usb2="00000016" w:usb3="00000000" w:csb0="00040001" w:csb1="00000000"/>
  </w:font>
  <w:font w:name="Courier New">
    <w:altName w:val="DejaVu Sans"/>
    <w:panose1 w:val="02070309020205020404"/>
    <w:charset w:val="00"/>
    <w:family w:val="modern"/>
    <w:pitch w:val="default"/>
    <w:sig w:usb0="E0002EFF" w:usb1="C0007843" w:usb2="00000009" w:usb3="00000000" w:csb0="400001FF" w:csb1="FFFF0000"/>
  </w:font>
  <w:font w:name="华文中宋">
    <w:altName w:val="汉仪中宋简"/>
    <w:panose1 w:val="02010600040101010101"/>
    <w:charset w:val="00"/>
    <w:family w:val="auto"/>
    <w:pitch w:val="default"/>
    <w:sig w:usb0="00000287" w:usb1="080F0000" w:usb2="00000000" w:usb3="00000000" w:csb0="0004009F" w:csb1="DFD70000"/>
  </w:font>
  <w:font w:name="汉仪中宋简">
    <w:panose1 w:val="02010600000101010101"/>
    <w:charset w:val="86"/>
    <w:family w:val="auto"/>
    <w:pitch w:val="default"/>
    <w:sig w:usb0="00000001" w:usb1="080E0800" w:usb2="00000002" w:usb3="00000000" w:csb0="00040000" w:csb1="00000000"/>
  </w:font>
  <w:font w:name="楷体_GB2312">
    <w:altName w:val="方正楷体_GBK"/>
    <w:panose1 w:val="02010609030101010101"/>
    <w:charset w:val="00"/>
    <w:family w:val="modern"/>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- 25 -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BYAAABkcnMvUEsBAhQAFAAAAAgAh07iQM6pebnPAAAABQEAAA8AAAAAAAAAAQAg&#10;AAAAOAAAAGRycy9kb3ducmV2LnhtbFBLAQIUABQAAAAIAIdO4kAOyRX8yAEAAJkDAAAOAAAAAAAA&#10;AAEAIAAAADQBAABkcnMvZTJvRG9jLnhtbFBLBQYAAAAABgAGAFkBAABuBQ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- 25 -</w:t>
                    </w:r>
                    <w:r>
                      <w:rPr>
                        <w:rFonts w:hint="eastAsia"/>
                        <w:sz w:val="18"/>
                        <w:lang w:val="en-US" w:eastAsia="zh-CN"/>
                      </w:rPr>
                      <w:fldChar w:fldCharType="end"/>
                    </w:r>
                  </w:p>
                </w:txbxContent>
              </v:textbox>
            </v:shape>
          </w:pict>
        </mc:Fallback>
      </mc:AlternateContent>
    </w:r>
    <w:r>
      <w:rPr>
        <w:lang w:val="en-US" w:eastAsia="zh-CN"/>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jc w:val="both"/>
                            <w:rPr>
                              <w:rFonts w:hint="eastAsia"/>
                              <w:lang w:val="en-US" w:eastAsia="zh-CN"/>
                            </w:rPr>
                          </w:pPr>
                        </w:p>
                      </w:txbxContent>
                    </wps:txbx>
                    <wps:bodyPr wrap="none" lIns="0" tIns="0" rIns="0" bIns="0" upright="1">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BYAAABkcnMvUEsBAhQAFAAAAAgAh07iQM6pebnPAAAABQEAAA8AAAAAAAAA&#10;AQAgAAAAOAAAAGRycy9kb3ducmV2LnhtbFBLAQIUABQAAAAIAIdO4kC2yfvDywEAAJwDAAAOAAAA&#10;AAAAAAEAIAAAADQBAABkcnMvZTJvRG9jLnhtbFBLBQYAAAAABgAGAFkBAABxBQAAAAA=&#10;">
              <v:fill on="f" focussize="0,0"/>
              <v:stroke on="f"/>
              <v:imagedata o:title=""/>
              <o:lock v:ext="edit" aspectratio="f"/>
              <v:textbox inset="0mm,0mm,0mm,0mm" style="mso-fit-shape-to-text:t;">
                <w:txbxContent>
                  <w:p>
                    <w:pPr>
                      <w:jc w:val="both"/>
                      <w:rPr>
                        <w:rFonts w:hint="eastAsia"/>
                        <w:lang w:val="en-US" w:eastAsia="zh-CN"/>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- 24 -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7"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WAAAAZHJzL1BLAQIUABQAAAAIAIdO4kDOqXm5zwAAAAUBAAAPAAAAAAAAAAEA&#10;IAAAADgAAABkcnMvZG93bnJldi54bWxQSwECFAAUAAAACACHTuJA/q+iy8kBAACZAwAADgAAAAAA&#10;AAABACAAAAA0AQAAZHJzL2Uyb0RvYy54bWxQSwUGAAAAAAYABgBZAQAAbwU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lang w:val="en-US" w:eastAsia="zh-CN"/>
                      </w:rPr>
                      <w:t>- 24 -</w:t>
                    </w:r>
                    <w:r>
                      <w:rPr>
                        <w:rFonts w:hint="eastAsia"/>
                        <w:sz w:val="18"/>
                        <w:lang w:val="en-US"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1"/>
    <w:multiLevelType w:val="singleLevel"/>
    <w:tmpl w:val="00000001"/>
    <w:lvl w:ilvl="0" w:tentative="0">
      <w:start w:val="1"/>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view w:val="normal"/>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evenAndOddHeaders w:val="1"/>
  <w:drawingGridHorizontalSpacing w:val="105"/>
  <w:drawingGridVerticalSpacing w:val="156"/>
  <w:displayHorizontalDrawingGridEvery w:val="1"/>
  <w:displayVerticalDrawingGridEvery w:val="1"/>
  <w:noPunctuationKerning w:val="1"/>
  <w:characterSpacingControl w:val="compressPunctuation"/>
  <w:noLineBreaksAfter w:lang="zh-CN" w:val="([{·‘“〈《「『【〔〖（．［｛￡￥"/>
  <w:noLineBreaksBefore w:lang="zh-CN" w:val="!),.:;?]}¨·ˇˉ―‖’”…∶、。〃々〉》」』】〕〗！＂＇），．：；？］｀｜｝～￠"/>
  <w:hdrShapeDefaults>
    <o:shapelayout v:ext="edit">
      <o:idmap v:ext="edit" data="2"/>
    </o:shapelayout>
  </w:hdrShapeDefaults>
  <w:compat>
    <w:spaceForUL/>
    <w:balanceSingleByteDoubleByteWidth/>
    <w:doNotLeaveBackslashAlon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kyZmNhZmMwYTRkMzdjNDc0ZDBiODA4ZTNmNjg2YzYifQ=="/>
  </w:docVars>
  <w:rsids>
    <w:rsidRoot w:val="00000000"/>
    <w:rsid w:val="0A567631"/>
    <w:rsid w:val="124D3C15"/>
    <w:rsid w:val="134E5DC5"/>
    <w:rsid w:val="201B6D3B"/>
    <w:rsid w:val="232C638A"/>
    <w:rsid w:val="23321EB0"/>
    <w:rsid w:val="2A5C7555"/>
    <w:rsid w:val="353634F8"/>
    <w:rsid w:val="44713254"/>
    <w:rsid w:val="4A353A14"/>
    <w:rsid w:val="5027546A"/>
    <w:rsid w:val="5DA92619"/>
    <w:rsid w:val="5DFCB606"/>
    <w:rsid w:val="6C536D90"/>
    <w:rsid w:val="71067739"/>
    <w:rsid w:val="7C967BA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semiHidden="0"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4">
    <w:name w:val="Default Paragraph Font"/>
    <w:unhideWhenUsed/>
    <w:uiPriority w:val="1"/>
  </w:style>
  <w:style w:type="table" w:default="1" w:styleId="2">
    <w:name w:val="Normal Table"/>
    <w:unhideWhenUsed/>
    <w:qFormat/>
    <w:uiPriority w:val="99"/>
    <w:tblPr>
      <w:tblStyle w:val="2"/>
      <w:tblCellMar>
        <w:top w:w="0" w:type="dxa"/>
        <w:left w:w="108" w:type="dxa"/>
        <w:bottom w:w="0" w:type="dxa"/>
        <w:right w:w="108" w:type="dxa"/>
      </w:tblCellMar>
    </w:tblPr>
  </w:style>
  <w:style w:type="table" w:styleId="3">
    <w:name w:val="Table Grid"/>
    <w:basedOn w:val="2"/>
    <w:uiPriority w:val="0"/>
    <w:tblPr>
      <w:tblStyle w:val="2"/>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5">
    <w:name w:val="Hyperlink"/>
    <w:unhideWhenUsed/>
    <w:uiPriority w:val="99"/>
    <w:rPr>
      <w:color w:val="0000FF"/>
      <w:u w:val="single"/>
    </w:rPr>
  </w:style>
  <w:style w:type="table" w:customStyle="1" w:styleId="6">
    <w:name w:val="普通表格1"/>
    <w:unhideWhenUsed/>
    <w:qFormat/>
    <w:uiPriority w:val="99"/>
    <w:tblPr>
      <w:tblStyle w:val="2"/>
      <w:tblCellMar>
        <w:top w:w="0" w:type="dxa"/>
        <w:left w:w="108" w:type="dxa"/>
        <w:bottom w:w="0" w:type="dxa"/>
        <w:right w:w="108" w:type="dxa"/>
      </w:tblCellMar>
    </w:tblPr>
  </w:style>
  <w:style w:type="paragraph" w:customStyle="1" w:styleId="7">
    <w:name w:val="批注框文本1"/>
    <w:basedOn w:val="1"/>
    <w:link w:val="8"/>
    <w:unhideWhenUsed/>
    <w:uiPriority w:val="99"/>
    <w:pPr>
      <w:jc w:val="both"/>
    </w:pPr>
    <w:rPr>
      <w:sz w:val="18"/>
      <w:szCs w:val="18"/>
      <w:lang w:val="en-US" w:eastAsia="zh-CN"/>
    </w:rPr>
  </w:style>
  <w:style w:type="character" w:customStyle="1" w:styleId="8">
    <w:name w:val="批注框文本 Char"/>
    <w:link w:val="7"/>
    <w:semiHidden/>
    <w:uiPriority w:val="99"/>
    <w:rPr>
      <w:kern w:val="2"/>
      <w:sz w:val="18"/>
      <w:szCs w:val="18"/>
    </w:rPr>
  </w:style>
  <w:style w:type="paragraph" w:customStyle="1" w:styleId="9">
    <w:name w:val="页脚1"/>
    <w:basedOn w:val="1"/>
    <w:link w:val="10"/>
    <w:unhideWhenUsed/>
    <w:qFormat/>
    <w:uiPriority w:val="99"/>
    <w:pPr>
      <w:tabs>
        <w:tab w:val="center" w:pos="4153"/>
        <w:tab w:val="right" w:pos="8306"/>
      </w:tabs>
      <w:snapToGrid w:val="0"/>
      <w:jc w:val="left"/>
    </w:pPr>
    <w:rPr>
      <w:sz w:val="18"/>
      <w:szCs w:val="18"/>
      <w:lang w:val="en-US" w:eastAsia="zh-CN"/>
    </w:rPr>
  </w:style>
  <w:style w:type="character" w:customStyle="1" w:styleId="10">
    <w:name w:val="页脚 Char"/>
    <w:link w:val="9"/>
    <w:uiPriority w:val="99"/>
    <w:rPr>
      <w:kern w:val="2"/>
      <w:sz w:val="18"/>
      <w:szCs w:val="18"/>
    </w:rPr>
  </w:style>
  <w:style w:type="paragraph" w:customStyle="1" w:styleId="11">
    <w:name w:val="页眉1"/>
    <w:basedOn w:val="1"/>
    <w:link w:val="12"/>
    <w:unhideWhenUsed/>
    <w:uiPriority w:val="99"/>
    <w:pPr>
      <w:pBdr>
        <w:bottom w:val="single" w:color="000000" w:sz="6" w:space="1"/>
      </w:pBdr>
      <w:tabs>
        <w:tab w:val="center" w:pos="4153"/>
        <w:tab w:val="right" w:pos="8306"/>
      </w:tabs>
      <w:snapToGrid w:val="0"/>
      <w:jc w:val="center"/>
    </w:pPr>
    <w:rPr>
      <w:sz w:val="18"/>
      <w:szCs w:val="18"/>
      <w:lang w:val="en-US" w:eastAsia="zh-CN"/>
    </w:rPr>
  </w:style>
  <w:style w:type="character" w:customStyle="1" w:styleId="12">
    <w:name w:val="页眉 Char"/>
    <w:link w:val="11"/>
    <w:uiPriority w:val="99"/>
    <w:rPr>
      <w:kern w:val="2"/>
      <w:sz w:val="18"/>
      <w:szCs w:val="18"/>
    </w:rPr>
  </w:style>
  <w:style w:type="paragraph" w:customStyle="1" w:styleId="13">
    <w:name w:val="普通(网站)1"/>
    <w:basedOn w:val="1"/>
    <w:unhideWhenUsed/>
    <w:uiPriority w:val="99"/>
    <w:pPr>
      <w:jc w:val="both"/>
    </w:pPr>
    <w:rPr>
      <w:sz w:val="24"/>
      <w:lang w:val="en-US" w:eastAsia="zh-CN"/>
    </w:rPr>
  </w:style>
  <w:style w:type="table" w:customStyle="1" w:styleId="14">
    <w:name w:val="网格型1"/>
    <w:basedOn w:val="6"/>
    <w:uiPriority w:val="59"/>
    <w:pPr>
      <w:widowControl w:val="0"/>
      <w:jc w:val="both"/>
    </w:pPr>
    <w:tblPr>
      <w:tblStyle w:val="2"/>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5">
    <w:name w:val="已访问的超链接1"/>
    <w:unhideWhenUsed/>
    <w:uiPriority w:val="99"/>
    <w:rPr>
      <w:color w:val="800080"/>
      <w:u w:val="single"/>
    </w:rPr>
  </w:style>
  <w:style w:type="character" w:customStyle="1" w:styleId="16">
    <w:name w:val="font01"/>
    <w:uiPriority w:val="0"/>
    <w:rPr>
      <w:rFonts w:hint="eastAsia" w:ascii="宋体" w:hAnsi="宋体" w:eastAsia="宋体" w:cs="宋体"/>
      <w:color w:val="000000"/>
      <w:sz w:val="22"/>
      <w:szCs w:val="22"/>
      <w:u w:val="none"/>
    </w:rPr>
  </w:style>
  <w:style w:type="character" w:customStyle="1" w:styleId="17">
    <w:name w:val="font21"/>
    <w:uiPriority w:val="0"/>
    <w:rPr>
      <w:rFonts w:hint="eastAsia" w:ascii="宋体" w:hAnsi="宋体" w:eastAsia="宋体" w:cs="宋体"/>
      <w:color w:val="000000"/>
      <w:sz w:val="22"/>
      <w:szCs w:val="22"/>
      <w:u w:val="none"/>
    </w:rPr>
  </w:style>
  <w:style w:type="character" w:customStyle="1" w:styleId="18">
    <w:name w:val="font51"/>
    <w:uiPriority w:val="0"/>
    <w:rPr>
      <w:rFonts w:hint="eastAsia" w:ascii="宋体" w:hAnsi="宋体" w:eastAsia="宋体" w:cs="宋体"/>
      <w:color w:val="000000"/>
      <w:sz w:val="24"/>
      <w:szCs w:val="24"/>
      <w:u w:val="none"/>
    </w:rPr>
  </w:style>
  <w:style w:type="character" w:customStyle="1" w:styleId="19">
    <w:name w:val="font11"/>
    <w:uiPriority w:val="0"/>
    <w:rPr>
      <w:rFonts w:hint="eastAsia" w:ascii="宋体" w:hAnsi="宋体" w:eastAsia="宋体" w:cs="宋体"/>
      <w:color w:val="000000"/>
      <w:sz w:val="20"/>
      <w:szCs w:val="20"/>
      <w:u w:val="none"/>
    </w:rPr>
  </w:style>
  <w:style w:type="character" w:customStyle="1" w:styleId="20">
    <w:name w:val="font41"/>
    <w:uiPriority w:val="0"/>
    <w:rPr>
      <w:rFonts w:hint="eastAsia" w:ascii="宋体" w:hAnsi="宋体" w:eastAsia="宋体" w:cs="宋体"/>
      <w:color w:val="000000"/>
      <w:sz w:val="24"/>
      <w:szCs w:val="24"/>
      <w:u w:val="none"/>
    </w:rPr>
  </w:style>
  <w:style w:type="character" w:customStyle="1" w:styleId="21">
    <w:name w:val="font31"/>
    <w:basedOn w:val="4"/>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43</Pages>
  <Words>9142</Words>
  <Characters>13551</Characters>
  <Lines>1</Lines>
  <Paragraphs>1</Paragraphs>
  <TotalTime>8</TotalTime>
  <ScaleCrop>false</ScaleCrop>
  <LinksUpToDate>false</LinksUpToDate>
  <CharactersWithSpaces>14408</CharactersWithSpaces>
  <Application>WPS Office_11.8.2.12356_F1E327BC-269C-435d-A152-05C5408002CA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2007-11-29T11:41:00Z</dcterms:created>
  <dc:creator>管理者</dc:creator>
  <cp:lastModifiedBy>dcczj</cp:lastModifiedBy>
  <cp:lastPrinted>2025-07-31T16:04:00Z</cp:lastPrinted>
  <dcterms:modified xsi:type="dcterms:W3CDTF">2025-12-07T10:33:05Z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2052-11.8.2.12356</vt:lpwstr>
  </property>
  <property fmtid="{D5CDD505-2E9C-101B-9397-08002B2CF9AE}" pid="3" name="KSOTemplateDocerSaveRecord">
    <vt:lpwstr>eyJoZGlkIjoiYjkyZmNhZmMwYTRkMzdjNDc0ZDBiODA4ZTNmNjg2YzYiLCJ1c2VySWQiOiI0OTE0MjE5NzUifQ==</vt:lpwstr>
  </property>
  <property fmtid="{D5CDD505-2E9C-101B-9397-08002B2CF9AE}" pid="4" name="ICV">
    <vt:lpwstr>ACEE17A07EF4517261E73469E13609DB</vt:lpwstr>
  </property>
</Properties>
</file>