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郸城县李楼乡人民政府部门决算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郸城县李楼乡人民政府概况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郸城县李楼乡人民政府概况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numPr>
          <w:ilvl w:val="0"/>
          <w:numId w:val="2"/>
        </w:numPr>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部门职责</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一)党的建设。落实新时代党的建设总要求，负责基层党的政治建设、思想建设、组织建设、作风建设、纪律建设，把制度建设贯穿其中，深入推进反腐败斗争；负责宣传、统战、意识形态、精神文明建设及群团等工作；加强乡镇党委自身建设，指导村级党组织建设；负责党员教育管理监督和发展党员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二）经济发展。统筹制定区域经济发展规划，实施经济建设项目，促进经济增长；推进城乡经济融合发展，提高农业发展水平，增加村（居）民收入；做好投资促进、重点项目服务，以及工业、交通、商贸、就业、统计等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三）乡村建设。统筹乡村规划建设和管理，推进基础设施、公共设施建设，做好村镇管理、生态环境保护等工作。实施人居环境整治，做好“厕所革命”、垃圾和污水处理、村容村貌整治提升等工作；协助做好辖区内自然资源规划、开发利用和保护等工作；协助做好开发建设项目的征地，拆迁、安置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(四）公共服务。组织实施与人民群众生活密切相关的公共服务和社会事务，负责教育、民政、卫生健康、文化、体育、社会保障、社会救助等管理和服务；负责退役军人事务工作和拥军优属工作。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五）平安建设。负责维护辖区内社会秩序稳定，做好社会治安综合治理、公共安全风险防控、安全生产监管、应急管理、法治宣传教育、法律服务等相关工作。负责排查化解矛盾纠纷，受理群众来信来访、投诉事项；负责组织群防群治，完善治安防控体系；负责网格化服务管理工作；负责辖区内消防安全等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(六) 综合行政执法。根据法律法规授权和省政府下放权限，以乡镇名义开展执法活动；推进城市管理、市场监管、生态环境、文化市场、交通运输、应急管理、农业等领域综合执法工作；协调配合县级执法部门做好专业执法工作；统一指挥调度派驻机构开展执法活动；承担与行政执法活动密切相关的行政检查等工作。</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（七）行政审批服务，根据法律法规和省政府授权集中办理有关审批和服务事项；负责本级行政审批服务中心的建设、运行和监督管理；负责组织指导、协调、监督村( 社区) 综合服务设施的建设、运行和管理。</w:t>
      </w:r>
      <w:r>
        <w:rPr>
          <w:rFonts w:hint="eastAsia" w:ascii="仿宋" w:hAnsi="仿宋" w:eastAsia="仿宋" w:cs="仿宋"/>
          <w:kern w:val="0"/>
          <w:sz w:val="32"/>
          <w:szCs w:val="32"/>
          <w:lang w:val="en-US" w:eastAsia="zh-CN"/>
        </w:rPr>
        <w:br w:type="textWrapping"/>
      </w:r>
      <w:r>
        <w:rPr>
          <w:rFonts w:hint="eastAsia" w:ascii="仿宋" w:hAnsi="仿宋" w:eastAsia="仿宋" w:cs="仿宋"/>
          <w:kern w:val="0"/>
          <w:sz w:val="32"/>
          <w:szCs w:val="32"/>
          <w:lang w:val="en-US" w:eastAsia="zh-CN"/>
        </w:rPr>
        <w:t xml:space="preserve">    （八）完成上级党委和政府交办的其他事项。</w:t>
      </w:r>
    </w:p>
    <w:p>
      <w:pPr>
        <w:keepNext w:val="0"/>
        <w:keepLines w:val="0"/>
        <w:pageBreakBefore w:val="0"/>
        <w:widowControl/>
        <w:numPr>
          <w:ilvl w:val="0"/>
          <w:numId w:val="0"/>
        </w:numPr>
        <w:kinsoku/>
        <w:wordWrap w:val="0"/>
        <w:overflowPunct/>
        <w:topLinePunct w:val="0"/>
        <w:autoSpaceDE/>
        <w:autoSpaceDN/>
        <w:bidi w:val="0"/>
        <w:jc w:val="left"/>
        <w:outlineLvl w:val="1"/>
        <w:rPr>
          <w:rFonts w:hint="eastAsia"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李楼乡人民政府内设机构10个,包括：党政综合办公室、党建工作办公室、经济发展办公室、乡村建设办公室、公共服务办公室、平安建设办公室、综合行政执法大队、行政审批服务中心、退役军人服务站、村镇规划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从决算单位构成看，郸城县李楼乡人民政府部门决算为本级决算。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lang w:val="en-US" w:eastAsia="zh-CN"/>
        </w:rPr>
        <w:sectPr>
          <w:pgSz w:w="11906" w:h="16838"/>
          <w:pgMar w:top="1440" w:right="1800" w:bottom="1440" w:left="1800"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郸城县李楼乡人民政府本级，无二级决算单位。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收入</w:t>
            </w:r>
          </w:p>
        </w:tc>
        <w:tc>
          <w:tcPr>
            <w:tcW w:w="6404"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25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248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5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5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5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48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1,408.40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一、一般公共服务支出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二、政府性基金预算财政拨款收入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二、外交支出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三、国有资本经营预算财政拨款收入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三、国防支出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四、上级补助收入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四、公共安全支出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五、事业收入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五、教育支出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六、经营收入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六、科学技术支出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七、附属单位上缴收入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七、文化旅游体育与传媒支出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八、其他收入</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八、社会保障和就业支出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九、卫生健康支出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十、节能环保支出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十一、城乡社区支出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十二、农林水支出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13</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十三、交通运输支出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十四、资源勘探工业信息等支出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15</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十五、商业服务业等支出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16</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十六、金融支出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十七、援助其他地区支出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十八、自然资源海洋气象等支出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十九、住房保障支出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二十、粮油物资储备支出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二十一、国有资本经营预算支出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51</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二十二、灾害防治及应急管理支出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二十三、其他支出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二十四、债务还本支出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二十五、债务付息支出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w:t>
            </w:r>
          </w:p>
        </w:tc>
        <w:tc>
          <w:tcPr>
            <w:tcW w:w="25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二十六、抗疫特别国债安排的支出</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56</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本年收入合计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27</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本年支出合计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使用非财政拨款结余（含专用结余）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结余分配</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年初结转和结余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33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年末结转和结余</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59</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w:t>
            </w:r>
          </w:p>
        </w:tc>
        <w:tc>
          <w:tcPr>
            <w:tcW w:w="25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33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5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60</w:t>
            </w:r>
          </w:p>
        </w:tc>
        <w:tc>
          <w:tcPr>
            <w:tcW w:w="248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hint="eastAsia" w:ascii="宋体" w:hAnsi="宋体" w:eastAsia="宋体" w:cs="宋体"/>
          <w:sz w:val="21"/>
          <w:szCs w:val="21"/>
          <w:lang w:val="en-US" w:eastAsia="zh-CN"/>
        </w:rPr>
      </w:pPr>
      <w:r>
        <w:rPr>
          <w:rFonts w:hint="eastAsia" w:ascii="宋体" w:hAnsi="宋体" w:eastAsia="宋体" w:cs="宋体"/>
          <w:color w:val="000000"/>
          <w:kern w:val="0"/>
          <w:sz w:val="21"/>
          <w:szCs w:val="21"/>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本年收入合计</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财政拨款收入</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上级补助收入</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事业收入</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经营收入</w:t>
            </w:r>
          </w:p>
        </w:tc>
        <w:tc>
          <w:tcPr>
            <w:tcW w:w="8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附属单位上缴收入</w:t>
            </w:r>
          </w:p>
        </w:tc>
        <w:tc>
          <w:tcPr>
            <w:tcW w:w="846"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24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4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4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82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846"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一般公共服务支出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政府办公厅（室）及相关机构事务</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581.83</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581.83</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行政运行</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2010302</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一般行政管理事务</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2010350</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事业运行</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2010399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其他政府办公厅（室）及相关机构事务支出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24.24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24.24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统计信息事务</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2010507</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专项普查活动</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抚恤</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死亡抚恤</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行政单位医疗</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城乡社区支出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国有土地使用权出让收入安排的支出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征地和拆迁补偿支出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农林水支出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农业农村</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2130119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防灾救灾</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2130153</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耕地建设与利用</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巩固脱贫攻坚成果衔接乡村振兴</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2130599</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其他巩固脱贫攻坚成果衔接乡村振兴支出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农村综合改革</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2130705</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对村民委员会和村党支部的补助</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24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2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9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本年支出合计</w:t>
            </w:r>
          </w:p>
        </w:tc>
        <w:tc>
          <w:tcPr>
            <w:tcW w:w="9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9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c>
          <w:tcPr>
            <w:tcW w:w="9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上缴上级支出</w:t>
            </w:r>
          </w:p>
        </w:tc>
        <w:tc>
          <w:tcPr>
            <w:tcW w:w="9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经营支出</w:t>
            </w:r>
          </w:p>
        </w:tc>
        <w:tc>
          <w:tcPr>
            <w:tcW w:w="846"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28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8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8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4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9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9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9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9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9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846"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1,168.12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302.60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一般公共服务支出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487.12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99.71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政府办公厅（室）及相关机构事务</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581.83</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487.12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94.71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行政运行</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2010302</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一般行政管理事务</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2010350</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事业运行</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2010399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其他政府办公厅（室）及相关机构事务支出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24.24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统计信息事务</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2010507</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专项普查活动</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抚恤</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死亡抚恤</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行政单位医疗</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城乡社区支出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国有土地使用权出让收入安排的支出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征地和拆迁补偿支出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农林水支出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农业农村</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2130119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防灾救灾</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2130153</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耕地建设与利用</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巩固脱贫攻坚成果衔接乡村振兴</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2130599</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其他巩固脱贫攻坚成果衔接乡村振兴支出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农村综合改革</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82.25</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2130705</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对村民委员会和村党支部的补助</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82.25</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284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9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4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收     入</w:t>
            </w:r>
          </w:p>
        </w:tc>
        <w:tc>
          <w:tcPr>
            <w:tcW w:w="8384"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金额</w:t>
            </w:r>
          </w:p>
        </w:tc>
        <w:tc>
          <w:tcPr>
            <w:tcW w:w="26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一般公共预算财政拨款</w:t>
            </w:r>
          </w:p>
        </w:tc>
        <w:tc>
          <w:tcPr>
            <w:tcW w:w="13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政府性基金预算财政拨款</w:t>
            </w:r>
          </w:p>
        </w:tc>
        <w:tc>
          <w:tcPr>
            <w:tcW w:w="134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4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4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0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44"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1,408.40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一、一般公共服务支出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二、政府性基金预算财政拨款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二、外交支出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三、国有资本经营预算财政拨款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三、国防支出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四、公共安全支出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五、教育支出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六、科学技术支出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七、文化旅游体育与传媒支出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八、社会保障和就业支出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九、卫生健康支出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十、节能环保支出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十一、城乡社区支出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十二、农林水支出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十三、交通运输支出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十四、资源勘探工业信息等支出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十五、商业服务业等支出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十六、金融支出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17</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十七、援助其他地区支出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18</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十八、自然资源海洋气象等支出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十九、住房保障支出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二十、粮油物资储备支出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二十一、国有资本经营预算支出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二十二、灾害防治及应急管理支出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二十三、其他支出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55</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二十四、债务还本支出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56</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二十五、债务付息支出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二十六、抗疫特别国债安排的支出</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本年收入合计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27</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本年支出合计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1,408.40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年初财政拨款结转和结余</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年末财政拨款结转和结余</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一般公共预算财政拨款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61</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政府性基金预算财政拨款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国有资本经营预算财政拨款</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6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w:t>
            </w: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134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26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i w:val="0"/>
                <w:color w:val="000000"/>
                <w:kern w:val="2"/>
                <w:sz w:val="21"/>
                <w:szCs w:val="21"/>
                <w:lang w:val="en-US" w:eastAsia="zh-CN" w:bidi="ar-SA"/>
              </w:rPr>
              <w:t>总计</w:t>
            </w:r>
          </w:p>
        </w:tc>
        <w:tc>
          <w:tcPr>
            <w:tcW w:w="4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64</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1,470.72</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1,408.40</w:t>
            </w:r>
          </w:p>
        </w:tc>
        <w:tc>
          <w:tcPr>
            <w:tcW w:w="130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4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sz w:val="21"/>
          <w:szCs w:val="21"/>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3513"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4306"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37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14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44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1426"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37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2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37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4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426"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14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44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426"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1,408.40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1,168.12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240.28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一般公共服务支出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586.83</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487.12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人大事务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2010108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代表工作</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政府办公厅（室）及相关机构事务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581.83</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487.12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94.71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行政运行</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258.88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一般行政管理事务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73.48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2010350</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事业运行</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225.24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2010399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其他政府办公厅（室）及相关机构事务支出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24.24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统计信息事务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2010507</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专项普查活动</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20132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组织事务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2013299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其他组织事务支出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99.98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行政事业单位养老支出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2080505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机关事业单位基本养老保险缴费支出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77.34</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抚恤</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2080801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死亡抚恤</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退役安置</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2080999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其他退役安置支出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2089999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其他社会保障和就业支出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2.06</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卫生健康支出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行政事业单位医疗</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52.27</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行政单位医疗</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26.21</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事业单位医疗</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12.01</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2101199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其他行政事业单位医疗支出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农林水支出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630.49</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140.57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农业农村</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2130119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防灾救灾</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2130153</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耕地建设与利用</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2130199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其他农业农村支出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巩固脱贫攻坚成果衔接乡村振兴</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一般行政管理事务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生产发展</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2130599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其他巩固脱贫攻坚成果衔接乡村振兴支出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19.12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农村综合改革</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82.25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2130705</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对村民委员会和村党支部的补助</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572.17</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489.92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82.25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2130799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其他农村综合改革支出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住房保障支出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住房改革支出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2210201</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住房公积金</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38.82</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224</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灾害防治及应急管理支出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22402</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消防救援事务</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2240299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其他消防救援事务支出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22999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2299999</w:t>
            </w:r>
          </w:p>
        </w:tc>
        <w:tc>
          <w:tcPr>
            <w:tcW w:w="376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其他支出</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4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426"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412"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人员经费</w:t>
            </w:r>
          </w:p>
        </w:tc>
        <w:tc>
          <w:tcPr>
            <w:tcW w:w="8684"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c>
          <w:tcPr>
            <w:tcW w:w="80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经济分类科目编码</w:t>
            </w:r>
          </w:p>
        </w:tc>
        <w:tc>
          <w:tcPr>
            <w:tcW w:w="27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964"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工资福利支出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612.21</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商品和服务支出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43.60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债务利息及费用支出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基本工资</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311.85</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办公费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3.79</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30701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国内债务付息</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津贴补贴</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23.21</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印刷费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5.33</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30702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国外债务付息</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奖金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12.48</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咨询费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资本性支出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伙食补助费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手续费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房屋建筑物购建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绩效工资</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29.64</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办公设备购置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机关事业单位基本养老保险缴费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103.77</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电费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4.50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31003</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专用设备购置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职业年金缴费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邮电费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31005</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基础设施建设</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职工基本医疗保险缴费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59.81</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取暖费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31006</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大型修缮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公务员医疗补助缴费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物业管理费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信息网络及软件购置更新</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其他社会保障缴费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差旅费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0.53</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31008</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物资储备</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住房公积金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69.15</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因公出国（境）费用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31009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土地补偿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30114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医疗费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维修（护）费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0.64</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安置补助</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30199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其他工资福利支出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租赁费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地上附着物和青苗补偿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对个人和家庭的补助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512.30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会议费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拆迁补偿</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离休费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培训费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31013</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公务用车购置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30302</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退休费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公务接待费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31019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其他交通工具购置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30303</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退职（役）费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30218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专用材料费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31021</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文物和陈列品购置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抚恤金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20.58</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30224</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被装购置费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31022</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无形资产购置</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生活补助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491.72</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30225</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专用燃料费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31099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其他资本性支出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救济费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30226</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劳务费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2.90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其他支出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医疗费补助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30227</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委托业务费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39907</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国家赔偿费用支出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助学金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30228</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工会经费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39908</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对民间非营利组织和群众性自治组织补贴</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30309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奖励金</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30229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福利费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39909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经常性赠与</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30310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个人农业生产补贴</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30231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公务用车运行维护费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39910</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资本性赠与</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30311</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代缴社会保险费</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30239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其他交通费用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23.10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39999</w:t>
            </w:r>
          </w:p>
        </w:tc>
        <w:tc>
          <w:tcPr>
            <w:tcW w:w="27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其他支出</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30399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其他对个人和家庭的补助</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30240</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税金及附加费用</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3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80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30299</w:t>
            </w:r>
          </w:p>
        </w:tc>
        <w:tc>
          <w:tcPr>
            <w:tcW w:w="2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其他商品和服务支出</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2.81</w:t>
            </w:r>
          </w:p>
        </w:tc>
        <w:tc>
          <w:tcPr>
            <w:tcW w:w="80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7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964"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人员经费合计</w:t>
            </w:r>
          </w:p>
        </w:tc>
        <w:tc>
          <w:tcPr>
            <w:tcW w:w="9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1,124.52</w:t>
            </w:r>
          </w:p>
        </w:tc>
        <w:tc>
          <w:tcPr>
            <w:tcW w:w="7720" w:type="dxa"/>
            <w:gridSpan w:val="5"/>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公用经费合计</w:t>
            </w:r>
          </w:p>
        </w:tc>
        <w:tc>
          <w:tcPr>
            <w:tcW w:w="964"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43.60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eastAsia="宋体" w:cs="宋体"/>
          <w:color w:val="000000"/>
          <w:kern w:val="0"/>
          <w:sz w:val="21"/>
          <w:szCs w:val="21"/>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年初结转和结余</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本年收入</w:t>
            </w:r>
          </w:p>
        </w:tc>
        <w:tc>
          <w:tcPr>
            <w:tcW w:w="414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w:t>
            </w:r>
          </w:p>
        </w:tc>
        <w:tc>
          <w:tcPr>
            <w:tcW w:w="135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功能分类</w:t>
            </w:r>
          </w:p>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科目编码</w:t>
            </w:r>
          </w:p>
        </w:tc>
        <w:tc>
          <w:tcPr>
            <w:tcW w:w="4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13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4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3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3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358"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5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w:t>
            </w:r>
          </w:p>
        </w:tc>
        <w:tc>
          <w:tcPr>
            <w:tcW w:w="4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城乡社区支出</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5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w:t>
            </w:r>
          </w:p>
        </w:tc>
        <w:tc>
          <w:tcPr>
            <w:tcW w:w="4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国有土地使用权出让收入安排的支出</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5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2120801</w:t>
            </w:r>
          </w:p>
        </w:tc>
        <w:tc>
          <w:tcPr>
            <w:tcW w:w="4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征地和拆迁补偿支出</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380"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62.32</w:t>
            </w:r>
          </w:p>
        </w:tc>
        <w:tc>
          <w:tcPr>
            <w:tcW w:w="1358" w:type="dxa"/>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注：本表反映本年度政府性基金预算财政拨款收入、支出及结转和结余情况。</w:t>
            </w:r>
          </w:p>
        </w:tc>
      </w:tr>
    </w:tbl>
    <w:p>
      <w:pPr>
        <w:jc w:val="both"/>
        <w:rPr>
          <w:rFonts w:hint="eastAsia" w:ascii="宋体" w:hAnsi="宋体" w:eastAsia="宋体" w:cs="宋体"/>
          <w:sz w:val="21"/>
          <w:szCs w:val="21"/>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1"/>
          <w:szCs w:val="21"/>
          <w:lang w:val="en-US" w:eastAsia="zh-CN"/>
        </w:rPr>
      </w:pPr>
      <w:r>
        <w:rPr>
          <w:rFonts w:hint="eastAsia" w:ascii="宋体" w:hAnsi="宋体" w:eastAsia="宋体" w:cs="宋体"/>
          <w:kern w:val="0"/>
          <w:sz w:val="21"/>
          <w:szCs w:val="21"/>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w:t>
            </w:r>
          </w:p>
        </w:tc>
        <w:tc>
          <w:tcPr>
            <w:tcW w:w="6518"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科目代码</w:t>
            </w:r>
          </w:p>
        </w:tc>
        <w:tc>
          <w:tcPr>
            <w:tcW w:w="55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科目名称</w:t>
            </w:r>
          </w:p>
        </w:tc>
        <w:tc>
          <w:tcPr>
            <w:tcW w:w="21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218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基本支出</w:t>
            </w:r>
          </w:p>
        </w:tc>
        <w:tc>
          <w:tcPr>
            <w:tcW w:w="215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55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55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215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栏次</w:t>
            </w:r>
          </w:p>
        </w:tc>
        <w:tc>
          <w:tcPr>
            <w:tcW w:w="21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218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2158"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218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18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2158"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hint="eastAsia" w:ascii="宋体" w:hAnsi="宋体" w:eastAsia="宋体" w:cs="宋体"/>
                <w:kern w:val="2"/>
                <w:sz w:val="21"/>
                <w:szCs w:val="21"/>
                <w:lang w:val="en-US" w:eastAsia="zh-CN" w:bidi="ar-SA"/>
              </w:rPr>
            </w:pPr>
          </w:p>
        </w:tc>
        <w:tc>
          <w:tcPr>
            <w:tcW w:w="55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180" w:type="dxa"/>
            <w:noWrap w:val="0"/>
            <w:vAlign w:val="center"/>
          </w:tcPr>
          <w:p>
            <w:pPr>
              <w:widowControl w:val="0"/>
              <w:jc w:val="both"/>
              <w:rPr>
                <w:rFonts w:hint="eastAsia" w:ascii="宋体" w:hAnsi="宋体" w:eastAsia="宋体" w:cs="宋体"/>
                <w:kern w:val="2"/>
                <w:sz w:val="21"/>
                <w:szCs w:val="21"/>
                <w:lang w:val="en-US" w:eastAsia="zh-CN" w:bidi="ar-SA"/>
              </w:rPr>
            </w:pPr>
          </w:p>
        </w:tc>
        <w:tc>
          <w:tcPr>
            <w:tcW w:w="2158" w:type="dxa"/>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eastAsia" w:ascii="宋体" w:hAnsi="宋体" w:eastAsia="宋体" w:cs="宋体"/>
          <w:color w:val="000000"/>
          <w:kern w:val="0"/>
          <w:sz w:val="21"/>
          <w:szCs w:val="21"/>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21"/>
          <w:szCs w:val="21"/>
          <w:lang w:val="en-US" w:eastAsia="zh-CN"/>
        </w:rPr>
        <w:t xml:space="preserve">说明：我部门没有使用国有资本经营预算安排的支出，故本表无数据。 </w:t>
      </w:r>
    </w:p>
    <w:p>
      <w:pPr>
        <w:keepNext w:val="0"/>
        <w:keepLines w:val="0"/>
        <w:pageBreakBefore w:val="0"/>
        <w:kinsoku/>
        <w:wordWrap w:val="0"/>
        <w:overflowPunct/>
        <w:topLinePunct w:val="0"/>
        <w:autoSpaceDE/>
        <w:autoSpaceDN/>
        <w:bidi w:val="0"/>
        <w:jc w:val="center"/>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部门：郸城县李楼乡人民政府</w:t>
            </w:r>
          </w:p>
        </w:tc>
        <w:tc>
          <w:tcPr>
            <w:tcW w:w="2000" w:type="dxa"/>
            <w:noWrap w:val="0"/>
            <w:vAlign w:val="top"/>
          </w:tcPr>
          <w:p>
            <w:pPr>
              <w:widowControl w:val="0"/>
              <w:jc w:val="center"/>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2024年度</w:t>
            </w:r>
          </w:p>
        </w:tc>
        <w:tc>
          <w:tcPr>
            <w:tcW w:w="5979" w:type="dxa"/>
            <w:noWrap w:val="0"/>
            <w:vAlign w:val="top"/>
          </w:tcPr>
          <w:p>
            <w:pPr>
              <w:widowControl w:val="0"/>
              <w:jc w:val="righ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单位：万元</w:t>
            </w:r>
          </w:p>
        </w:tc>
      </w:tr>
    </w:tbl>
    <w:p>
      <w:pPr>
        <w:snapToGrid w:val="0"/>
        <w:spacing w:before="0" w:after="0" w:line="0" w:lineRule="auto"/>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预算数</w:t>
            </w:r>
          </w:p>
        </w:tc>
        <w:tc>
          <w:tcPr>
            <w:tcW w:w="6998" w:type="dxa"/>
            <w:gridSpan w:val="6"/>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因公出国（境）费</w:t>
            </w:r>
          </w:p>
        </w:tc>
        <w:tc>
          <w:tcPr>
            <w:tcW w:w="348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公务用车购置及运行维护费</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公务接待费</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合计</w:t>
            </w:r>
          </w:p>
        </w:tc>
        <w:tc>
          <w:tcPr>
            <w:tcW w:w="1160"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因公出国（境）费</w:t>
            </w:r>
          </w:p>
        </w:tc>
        <w:tc>
          <w:tcPr>
            <w:tcW w:w="3480" w:type="dxa"/>
            <w:gridSpan w:val="3"/>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公务用车购置及运行维护费</w:t>
            </w:r>
          </w:p>
        </w:tc>
        <w:tc>
          <w:tcPr>
            <w:tcW w:w="1198" w:type="dxa"/>
            <w:vMerge w:val="restart"/>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公务用车购置费</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公务用车运行维护费</w:t>
            </w: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小计</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公务用车购置费</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公务用车运行维护费</w:t>
            </w:r>
          </w:p>
        </w:tc>
        <w:tc>
          <w:tcPr>
            <w:tcW w:w="1198" w:type="dxa"/>
            <w:vMerge w:val="continue"/>
            <w:noWrap w:val="0"/>
            <w:vAlign w:val="center"/>
          </w:tcPr>
          <w:p>
            <w:pPr>
              <w:widowControl w:val="0"/>
              <w:jc w:val="both"/>
              <w:rPr>
                <w:rFonts w:hint="eastAsia" w:ascii="宋体" w:hAnsi="宋体" w:eastAsia="宋体" w:cs="宋体"/>
                <w:kern w:val="2"/>
                <w:sz w:val="21"/>
                <w:szCs w:val="21"/>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2</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3</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4</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5</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6</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7</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8</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9</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10</w:t>
            </w:r>
          </w:p>
        </w:tc>
        <w:tc>
          <w:tcPr>
            <w:tcW w:w="1160"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11</w:t>
            </w:r>
          </w:p>
        </w:tc>
        <w:tc>
          <w:tcPr>
            <w:tcW w:w="1198" w:type="dxa"/>
            <w:noWrap w:val="0"/>
            <w:vAlign w:val="center"/>
          </w:tcPr>
          <w:p>
            <w:pPr>
              <w:widowControl w:val="0"/>
              <w:snapToGrid w:val="0"/>
              <w:jc w:val="center"/>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60"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c>
          <w:tcPr>
            <w:tcW w:w="1198" w:type="dxa"/>
            <w:noWrap w:val="0"/>
            <w:vAlign w:val="center"/>
          </w:tcPr>
          <w:p>
            <w:pPr>
              <w:widowControl w:val="0"/>
              <w:snapToGrid w:val="0"/>
              <w:jc w:val="right"/>
              <w:rPr>
                <w:rFonts w:hint="eastAsia" w:ascii="宋体" w:hAnsi="宋体" w:eastAsia="宋体" w:cs="宋体"/>
                <w:kern w:val="2"/>
                <w:sz w:val="21"/>
                <w:szCs w:val="21"/>
                <w:lang w:val="en-US" w:eastAsia="zh-CN" w:bidi="ar-SA"/>
              </w:rPr>
            </w:pPr>
            <w:r>
              <w:rPr>
                <w:rFonts w:hint="eastAsia" w:ascii="宋体" w:hAnsi="宋体" w:eastAsia="宋体" w:cs="宋体"/>
                <w:b w:val="0"/>
                <w:i w:val="0"/>
                <w:color w:val="000000"/>
                <w:kern w:val="2"/>
                <w:sz w:val="21"/>
                <w:szCs w:val="21"/>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eastAsia" w:ascii="宋体" w:hAnsi="宋体" w:eastAsia="宋体" w:cs="宋体"/>
          <w:sz w:val="21"/>
          <w:szCs w:val="21"/>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21"/>
          <w:szCs w:val="21"/>
          <w:lang w:val="en-US" w:eastAsia="zh-CN"/>
        </w:rPr>
        <w:t xml:space="preserve">说明：我部门没有“三公”经费预算，也没有“三公”经费支出，故本表无数据。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1470.72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与上年度相比，收、支总计各减少936.83万元，下降38.91%，主要原因是</w:t>
      </w:r>
      <w:r>
        <w:rPr>
          <w:rFonts w:hint="eastAsia" w:ascii="仿宋" w:hAnsi="仿宋" w:eastAsia="仿宋" w:cs="仿宋"/>
          <w:kern w:val="0"/>
          <w:sz w:val="32"/>
          <w:szCs w:val="32"/>
          <w:lang w:val="en-US" w:eastAsia="zh-CN"/>
        </w:rPr>
        <w:t>我部门本年度厉行节约，控制经费支出，日常经费开支减少。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1470.72</w:t>
      </w:r>
      <w:r>
        <w:rPr>
          <w:rFonts w:hint="eastAsia" w:ascii="仿宋_GB2312" w:hAnsi="仿宋_GB2312" w:eastAsia="仿宋_GB2312" w:cs="仿宋_GB2312"/>
          <w:sz w:val="32"/>
          <w:szCs w:val="32"/>
          <w:lang w:val="en-US" w:eastAsia="zh-CN"/>
        </w:rPr>
        <w:t>万元，其中：财政拨款收入1470.72万元，占100.00%。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1470.72</w:t>
      </w:r>
      <w:r>
        <w:rPr>
          <w:rFonts w:hint="eastAsia" w:ascii="仿宋_GB2312" w:hAnsi="仿宋_GB2312" w:eastAsia="仿宋_GB2312" w:cs="仿宋_GB2312"/>
          <w:sz w:val="32"/>
          <w:szCs w:val="32"/>
          <w:lang w:val="en-US" w:eastAsia="zh-CN"/>
        </w:rPr>
        <w:t>万元，其中：基本支出1168.12万元，占79.42%;项目支出302.60万元，占20.58%。</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1470.72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与上年度相比，财政拨款收、支总计各减少936.83万元，下降38.91%，主要原因是</w:t>
      </w:r>
      <w:r>
        <w:rPr>
          <w:rFonts w:hint="eastAsia" w:ascii="仿宋" w:hAnsi="仿宋" w:eastAsia="仿宋" w:cs="仿宋"/>
          <w:kern w:val="0"/>
          <w:sz w:val="32"/>
          <w:szCs w:val="32"/>
          <w:lang w:val="en-US" w:eastAsia="zh-CN"/>
        </w:rPr>
        <w:t>我部门本年度厉行节约，控制经费支出，日常经费开支减少。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2024年度一般公共预算财政拨款支出1408.40万元，占支出合计的95.76%。与上年度相比，一般公共预算财政拨款支出减少935.33万元，下降39.91%，主要原因是</w:t>
      </w:r>
      <w:r>
        <w:rPr>
          <w:rFonts w:hint="eastAsia" w:ascii="仿宋" w:hAnsi="仿宋" w:eastAsia="仿宋" w:cs="仿宋"/>
          <w:kern w:val="0"/>
          <w:sz w:val="32"/>
          <w:szCs w:val="32"/>
          <w:lang w:val="en-US" w:eastAsia="zh-CN"/>
        </w:rPr>
        <w:t>我部门本年度厉行节约，控制经费支出，日常经费开支减少。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1408.40万元，主要用于以下方面：一般公共服务（类）支出586.83万元，占41.67%;社会保障和就业（类）支出99.98万元，占7.10%;卫生健康（类）支出52.27万元，占3.71%;农林水（类）支出630.49万元，占44.77%;住房保障（类）支出38.82万元，占2.76%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1415.35</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1408.40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99.51</w:t>
      </w:r>
      <w:r>
        <w:rPr>
          <w:rFonts w:hint="eastAsia" w:ascii="仿宋_GB2312" w:hAnsi="仿宋_GB2312" w:eastAsia="仿宋_GB2312" w:cs="仿宋_GB2312"/>
          <w:sz w:val="32"/>
          <w:szCs w:val="32"/>
          <w:lang w:val="en-US" w:eastAsia="zh-CN"/>
        </w:rPr>
        <w:t>%。其中：</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267.63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258.88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，完成年初预算的96.73%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
          <w:kern w:val="0"/>
          <w:sz w:val="32"/>
          <w:szCs w:val="32"/>
          <w:lang w:val="en-US" w:eastAsia="zh-CN"/>
        </w:rPr>
        <w:t>我部门本年度厉行节约，控制经费支出，日常经费开支减少。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73.48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，完成年初预算的201.30%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业务需要，追加预算项目</w:t>
      </w:r>
      <w:r>
        <w:rPr>
          <w:rFonts w:hint="eastAsia" w:ascii="仿宋" w:hAnsi="仿宋" w:eastAsia="仿宋" w:cs="仿宋_GB2312"/>
          <w:sz w:val="32"/>
          <w:szCs w:val="32"/>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，完成年初预算的99.98%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default" w:ascii="仿宋" w:hAnsi="仿宋" w:eastAsia="仿宋" w:cs="仿宋"/>
          <w:kern w:val="0"/>
          <w:sz w:val="32"/>
          <w:szCs w:val="32"/>
          <w:highlight w:val="none"/>
          <w:lang w:val="en-US" w:eastAsia="zh-CN"/>
        </w:rPr>
        <w:t>部分支出未进行清算。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24.24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增加</w:t>
      </w:r>
      <w:r>
        <w:rPr>
          <w:rFonts w:hint="eastAsia" w:ascii="仿宋" w:hAnsi="仿宋" w:eastAsia="仿宋" w:cs="仿宋"/>
          <w:kern w:val="0"/>
          <w:sz w:val="32"/>
          <w:szCs w:val="32"/>
          <w:highlight w:val="none"/>
          <w:lang w:val="en-US" w:eastAsia="zh-CN"/>
        </w:rPr>
        <w:t>全国经济普查指导员及普查员补助</w:t>
      </w:r>
      <w:r>
        <w:rPr>
          <w:rFonts w:hint="eastAsia" w:ascii="仿宋" w:hAnsi="仿宋" w:eastAsia="仿宋" w:cs="仿宋_GB2312"/>
          <w:sz w:val="32"/>
          <w:szCs w:val="32"/>
        </w:rPr>
        <w:t>业务需要，追加预算项目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7.06</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77.34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，完成年初预算的136.86%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
          <w:kern w:val="0"/>
          <w:sz w:val="32"/>
          <w:szCs w:val="32"/>
          <w:highlight w:val="none"/>
          <w:lang w:val="en-US" w:eastAsia="zh-CN"/>
        </w:rPr>
        <w:t>事业人员增加，养老保险缴费需追加预算</w:t>
      </w:r>
      <w:r>
        <w:rPr>
          <w:rFonts w:hint="default" w:ascii="仿宋" w:hAnsi="仿宋" w:eastAsia="仿宋" w:cs="仿宋"/>
          <w:kern w:val="0"/>
          <w:sz w:val="32"/>
          <w:szCs w:val="32"/>
          <w:highlight w:val="none"/>
          <w:lang w:val="en-US" w:eastAsia="zh-CN"/>
        </w:rPr>
        <w:t>。</w:t>
      </w:r>
      <w:r>
        <w:rPr>
          <w:rFonts w:hint="eastAsia" w:ascii="仿宋" w:hAnsi="仿宋" w:eastAsia="仿宋" w:cs="仿宋_GB2312"/>
          <w:sz w:val="32"/>
          <w:szCs w:val="32"/>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20.58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default" w:ascii="仿宋" w:hAnsi="仿宋" w:eastAsia="仿宋" w:cs="仿宋"/>
          <w:kern w:val="0"/>
          <w:sz w:val="32"/>
          <w:szCs w:val="32"/>
          <w:highlight w:val="none"/>
          <w:lang w:val="en-US" w:eastAsia="zh-CN"/>
        </w:rPr>
        <w:t>本年度存在抚恤支出</w:t>
      </w:r>
      <w:r>
        <w:rPr>
          <w:rFonts w:hint="eastAsia" w:ascii="仿宋" w:hAnsi="仿宋" w:eastAsia="仿宋" w:cs="仿宋"/>
          <w:kern w:val="0"/>
          <w:sz w:val="32"/>
          <w:szCs w:val="32"/>
          <w:highlight w:val="none"/>
          <w:lang w:val="en-US" w:eastAsia="zh-CN"/>
        </w:rPr>
        <w:t>，追加指标增加拨款</w:t>
      </w:r>
      <w:r>
        <w:rPr>
          <w:rFonts w:hint="default" w:ascii="仿宋" w:hAnsi="仿宋" w:eastAsia="仿宋" w:cs="仿宋"/>
          <w:kern w:val="0"/>
          <w:sz w:val="32"/>
          <w:szCs w:val="32"/>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default" w:ascii="仿宋" w:hAnsi="仿宋" w:eastAsia="仿宋" w:cs="仿宋"/>
          <w:kern w:val="0"/>
          <w:sz w:val="32"/>
          <w:szCs w:val="32"/>
          <w:highlight w:val="none"/>
          <w:lang w:val="en-US" w:eastAsia="zh-CN"/>
        </w:rPr>
        <w:t>部分支出未进行清算。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26.21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，完成年初预算的247.42%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
          <w:kern w:val="0"/>
          <w:sz w:val="32"/>
          <w:szCs w:val="32"/>
          <w:highlight w:val="none"/>
          <w:lang w:val="en-US" w:eastAsia="zh-CN"/>
        </w:rPr>
        <w:t>事业人员增加，医疗保险缴费需追加预算</w:t>
      </w:r>
      <w:r>
        <w:rPr>
          <w:rFonts w:hint="default" w:ascii="仿宋" w:hAnsi="仿宋" w:eastAsia="仿宋" w:cs="仿宋"/>
          <w:kern w:val="0"/>
          <w:sz w:val="32"/>
          <w:szCs w:val="32"/>
          <w:highlight w:val="none"/>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12.01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14.05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14.05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widowControl/>
        <w:wordWrap w:val="0"/>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29.20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业务需要，追加预算项目。</w:t>
      </w:r>
    </w:p>
    <w:p>
      <w:pPr>
        <w:widowControl/>
        <w:wordWrap w:val="0"/>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19.12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业务需要，追加预算项目。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639.41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572.17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，完成年初预算的89.48%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default" w:ascii="仿宋" w:hAnsi="仿宋" w:eastAsia="仿宋" w:cs="仿宋"/>
          <w:kern w:val="0"/>
          <w:sz w:val="32"/>
          <w:szCs w:val="32"/>
          <w:highlight w:val="none"/>
          <w:lang w:val="en-US" w:eastAsia="zh-CN"/>
        </w:rPr>
        <w:t>部分支出未进行清算。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28.26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38.82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，完成年初预算的137.38%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
          <w:kern w:val="0"/>
          <w:sz w:val="32"/>
          <w:szCs w:val="32"/>
          <w:highlight w:val="none"/>
          <w:lang w:val="en-US" w:eastAsia="zh-CN"/>
        </w:rPr>
        <w:t>事业人员增加，住房公积金需追加预算。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1168.12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1124.52</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万元，主要包括：基本工资、津贴补贴、奖金、绩效工资、机关事业单位基本养老保险缴费、职工基本医疗保险缴费、其他社会保障缴费、住房公积金、抚恤金、生活补助；公用经费</w:t>
      </w:r>
      <w:r>
        <w:rPr>
          <w:rFonts w:hint="eastAsia" w:ascii="仿宋_GB2312" w:hAnsi="Times New Roman" w:eastAsia="仿宋_GB2312"/>
          <w:sz w:val="32"/>
          <w:szCs w:val="32"/>
          <w:lang w:val="en-US" w:eastAsia="zh-CN"/>
        </w:rPr>
        <w:t>43.60</w:t>
      </w:r>
      <w:r>
        <w:rPr>
          <w:rFonts w:hint="eastAsia" w:ascii="仿宋_GB2312" w:hAnsi="仿宋_GB2312" w:eastAsia="仿宋_GB2312" w:cs="仿宋_GB2312"/>
          <w:sz w:val="32"/>
          <w:szCs w:val="32"/>
          <w:lang w:val="en-US" w:eastAsia="zh-CN"/>
        </w:rPr>
        <w:t>万元，主要包括：办公费、印刷费、电费、差旅费、维修（护）费、劳务费、其他交通费用、其他商品和服务支出。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widowControl/>
        <w:wordWrap w:val="0"/>
        <w:spacing w:line="59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2024年度政府性基金预算财政拨款支出年初预算为0.00万元，支出决算为62.32万元，完成年初预算的100.00%，决算数与年初预算数存在差异的主要原因是用于</w:t>
      </w:r>
      <w:r>
        <w:rPr>
          <w:rFonts w:hint="eastAsia" w:ascii="仿宋" w:hAnsi="仿宋" w:eastAsia="仿宋" w:cs="仿宋"/>
          <w:kern w:val="0"/>
          <w:sz w:val="32"/>
          <w:szCs w:val="32"/>
          <w:highlight w:val="none"/>
          <w:lang w:val="en-US" w:eastAsia="zh-CN"/>
        </w:rPr>
        <w:t>土地租金。</w:t>
      </w:r>
      <w:r>
        <w:rPr>
          <w:rFonts w:hint="eastAsia" w:ascii="仿宋_GB2312" w:hAnsi="仿宋_GB2312" w:eastAsia="仿宋_GB2312" w:cs="仿宋_GB2312"/>
          <w:sz w:val="32"/>
          <w:szCs w:val="32"/>
        </w:rPr>
        <w:t>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48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48个项目开展了绩效自评，涉及项目资金984.68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48个项目支出进行了绩效自评，绩效自评平均得分96.89分。其中：自评结果个43为优，5个为良，0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80"/>
        <w:gridCol w:w="788"/>
        <w:gridCol w:w="2209"/>
        <w:gridCol w:w="1464"/>
        <w:gridCol w:w="1392"/>
        <w:gridCol w:w="1388"/>
        <w:gridCol w:w="1416"/>
        <w:gridCol w:w="1056"/>
        <w:gridCol w:w="936"/>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8</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2024年夏季秸秆禁烧工作经费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郸城县李楼乡人民政府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郸城县李楼乡人民政府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w:t>
            </w:r>
            <w:r>
              <w:rPr>
                <w:rStyle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6"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2024年夏季秸秆禁烧工作经费，保障三夏生产顺利、安全，确保小麦颗粒归仓。</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已完成2024年夏季秸秆禁烧工作，有效保障三夏生产、安全。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秸秆禁烧防火费用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秸秆禁烧覆盖行政村个数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=25村</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25村</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按照上级秸秆禁烧标准完成率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根据天气情况及时高效完成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及时高效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消除秸秆火灾隐患，保障群众三夏生产安全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秸秆禁烧覆盖区域群众满意度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587" w:right="2098" w:bottom="1474" w:left="1984" w:header="720" w:footer="720" w:gutter="0"/>
          <w:pgNumType w:fmt="numberInDash"/>
          <w:cols w:space="720" w:num="1"/>
          <w:docGrid w:type="lines" w:linePitch="312"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4年度部门整体支出进行绩效自评，得分为98.03分。从自评情况看，各项工作总体完成情况较好，部门履职效能进一步提升。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75"/>
        <w:gridCol w:w="919"/>
        <w:gridCol w:w="1663"/>
        <w:gridCol w:w="1575"/>
        <w:gridCol w:w="1575"/>
        <w:gridCol w:w="1205"/>
        <w:gridCol w:w="794"/>
        <w:gridCol w:w="1020"/>
        <w:gridCol w:w="1059"/>
        <w:gridCol w:w="1319"/>
        <w:gridCol w:w="8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8</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郸城县李楼乡人民政府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1415.35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1904.23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1604.24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84.25 %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1415.35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1737.94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1470.72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84.62 %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166.29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133.52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80.29 %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1.聚力乡村振兴，保障脱贫攻坚后评估与乡村振兴有效衔接；2.人居环境有效改善打造宜居宜业乡镇，发力“厕所革命”减少农村旱厕数量；3.加强乡镇党委自身建设和村党组织建设；4.全力建设人民满意政府。</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完成1.聚力乡村振兴，保障脱贫攻坚后评估与乡村振兴有效衔接；2.人居环境有效改善打造宜居宜业乡镇，发力“厕所革命”减少农村旱厕数量；3.加强乡镇党委自身建设和村党组织建设；4.全力建设人民满意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1.基层党组织建设</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机关基层党组织活动创建五星支部活动、机关党员教育培训工作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已完成机关基层党组织活动创建五星支部活动、机关党员教育培训工作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2.保障其他基本公共服务</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乡村基础设施、人居环境整治、防灾应急救助、安全生产监管、信访稳控调解、农村道路交通安全等支出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已完成乡村基础设施、人居环境整治、防灾应急救助、安全生产监管、信访稳控调解、农村道路交通安全等支出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3.乡村振兴</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脱贫攻坚后评估与乡村振兴有效衔接工作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已完成相关脱贫攻坚后评估与乡村振兴有效衔接工作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改善人居环境居住条件、加大厕改力度减少旱厕数量</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有效改善人居环境居住条件、加大厕改力度减少旱厕数量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13.33</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重点任务4完成率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年度目标1实现</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年度目标2实现</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年度目标3实现</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年度目标4实现</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脱贫攻坚与乡村振兴有效衔接成效显著</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加强乡镇党委自身建设和村党组织建设</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改善人居环境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587" w:right="2098" w:bottom="1474" w:left="1984" w:header="720" w:footer="720" w:gutter="0"/>
          <w:pgNumType w:fmt="numberInDash"/>
          <w:cols w:space="720" w:num="1"/>
          <w:docGrid w:type="lines" w:linePitch="312"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highlight w:val="none"/>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2"/>
          <w:sz w:val="32"/>
          <w:szCs w:val="32"/>
          <w:highlight w:val="none"/>
          <w:lang w:val="en-US" w:eastAsia="zh-CN"/>
        </w:rPr>
        <w:t>财政部门未选取我部门2024年度预算项目开展财政重点评价。</w:t>
      </w: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B56846"/>
    <w:multiLevelType w:val="singleLevel"/>
    <w:tmpl w:val="9CB56846"/>
    <w:lvl w:ilvl="0" w:tentative="0">
      <w:start w:val="1"/>
      <w:numFmt w:val="chineseCounting"/>
      <w:suff w:val="nothing"/>
      <w:lvlText w:val="%1、"/>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BF3353"/>
    <w:rsid w:val="065D60D4"/>
    <w:rsid w:val="082C341C"/>
    <w:rsid w:val="0D690A8B"/>
    <w:rsid w:val="1FE81CE3"/>
    <w:rsid w:val="2B810E46"/>
    <w:rsid w:val="2C7A1F15"/>
    <w:rsid w:val="34AE4E51"/>
    <w:rsid w:val="38A74091"/>
    <w:rsid w:val="3A443B62"/>
    <w:rsid w:val="3B31058A"/>
    <w:rsid w:val="3E7F2E08"/>
    <w:rsid w:val="3FBB7E49"/>
    <w:rsid w:val="403F1053"/>
    <w:rsid w:val="435C016E"/>
    <w:rsid w:val="4B591564"/>
    <w:rsid w:val="4E2875CB"/>
    <w:rsid w:val="54C3004D"/>
    <w:rsid w:val="5EFA466C"/>
    <w:rsid w:val="679EAE55"/>
    <w:rsid w:val="691D5B26"/>
    <w:rsid w:val="6A217F12"/>
    <w:rsid w:val="70AB1B3F"/>
    <w:rsid w:val="73B70925"/>
    <w:rsid w:val="78745BBA"/>
    <w:rsid w:val="7B7158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42</Pages>
  <Words>9915</Words>
  <Characters>14561</Characters>
  <Lines>1</Lines>
  <Paragraphs>1</Paragraphs>
  <TotalTime>7</TotalTime>
  <ScaleCrop>false</ScaleCrop>
  <LinksUpToDate>false</LinksUpToDate>
  <CharactersWithSpaces>15386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2025-12-07T10:30:51Z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eyJoZGlkIjoiY2FiOGMyODg5ODA5OGU5OGNiYTkyNjVlZGI4ZmE2ZjYiLCJ1c2VySWQiOiIzMjA1MDYzNDgifQ==</vt:lpwstr>
  </property>
  <property fmtid="{D5CDD505-2E9C-101B-9397-08002B2CF9AE}" pid="4" name="ICV">
    <vt:lpwstr>D17A7CABE8CD73F0DBE6346999F1F42E</vt:lpwstr>
  </property>
</Properties>
</file>