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郸城县汲冢镇人民政府部门决算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郸城县汲冢镇人民政府概况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郸城县汲冢镇人民政府概况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1、执行上级国家行政机关的决定、命令和国家制定的法令、法规，接受同级党委的领导，执行本级人民代表大会的各项决议，并报告执行决议、决定和命令的情况。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2、制定并落实本行政区域的经济计划和措施，促进产业结构调整及其他经济保持平衡协调发展，全面提高人民群众的生活水平和生活质量。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3、承担国有资产、集体资产管理、监督及增值保值责任，监督企业和各种经济联合体、个体户认真执行国家的法律、法令和政策，履行经济合同。</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4、开展社会主义民主和法制的宣传教育，保障公民的权利，制定社会治安综合治理工作规划并组织实施，加强社区管理工作，依法管理外来流动人口，调解民间纠纷，打击违法犯罪，维护社会稳定。</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制定社会各项事业发展计划，发展教育、卫生、科技、民政、广播电视、文化、体育事业，组织实施义务教育和其他各类教育，加强计划生育工作;推进社会保障、社会福利事业和养老保险工作，做好劳动管理、科普、老龄及宗教、侨务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6、加强乡级财政的监督和管理，按计划组织、管理镇财政收入和支出，执行国家有关财经纪律和政策，保证国家财政收入的完成，做好统计工作。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7、指导、支持、帮助村(居)民委员会的组织制度建设和业务建设，促进村(居)民委员会民主自治。</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8、制定和组织实施乡村建设规划，加强公用、市政设施、水利建设和管理以及房屋土地管理和环境综合整治工作，保护和改善生活环境和生态环境。</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9、协助和支持设置在本行政区域内不隶属于镇的国家机关和企事业单位工作，监督其遵守和执行国家的法律、法规和政策。</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10、承办县人民政府交办的其它事项。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郸城县汲冢镇人民政府内设机构</w:t>
      </w:r>
      <w:r>
        <w:rPr>
          <w:rFonts w:hint="eastAsia" w:ascii="仿宋_GB2312" w:hAnsi="宋体" w:eastAsia="仿宋_GB2312" w:cs="Courier New"/>
          <w:kern w:val="0"/>
          <w:sz w:val="32"/>
          <w:szCs w:val="32"/>
          <w:lang w:val="en-US" w:eastAsia="zh-CN"/>
        </w:rPr>
        <w:t>13</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党政综合办公室、党建工作办公室、经济发展办公室、乡村建设办公室、公共服务办公室、应急管理办公室、村镇规划建设办公室、市场监督管理所、平安建设办公室、综合行政执法大队、行政审批服务中心、退役军人服务站、财政所。</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从决算单位构成看，郸城县汲冢镇人民政府部门决算为本级决算。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郸城县汲冢镇人民政府本级，无二级决算单位。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部门：郸城县汲冢镇人民政府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2,751.36</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793.76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1,109.86</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163.86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61.66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1,109.86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1,687.25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44.83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3,861.22</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3,861.22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3,861.22</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3,861.22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部门：郸城县汲冢镇人民政府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3,861.22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3,861.22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一般公共服务支出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793.76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793.76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政协事务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2010206</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参政议政</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政府办公厅（室）及相关机构事务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782.04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782.04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268.03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268.03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281.90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281.90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232.12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232.12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统计信息事务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专项普查活动</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20106</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2010650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163.86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163.86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行政事业单位养老支出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88.88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88.88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机关事业单位基本养老保险缴费支出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88.88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88.88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抚恤</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2080801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死亡抚恤</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卫生健康支出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61.66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61.66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51.70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51.70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24.61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24.61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12.16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12.16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其他行政事业单位医疗支出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14.92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14.92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医疗保障管理事务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9.96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9.96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2101599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其他医疗保障管理事务支出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9.96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9.96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城乡社区支出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1,109.86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1,109.86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国有土地使用权出让收入安排的支出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1,109.86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1,109.86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征地和拆迁补偿支出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1,109.86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1,109.86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1,687.25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1,687.25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农业农村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75.83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75.83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2130119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防灾救灾</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30.77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30.77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2130153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耕地建设与利用</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45.06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45.06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巩固脱贫攻坚成果衔接乡村振兴</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366.21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366.21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生产发展</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其他巩固脱贫攻坚成果衔接乡村振兴支出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106.21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106.21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农村综合改革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1,245.21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1,245.21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对村级公益事业建设的补助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88.84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88.84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对村民委员会和村党支部的补助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773.39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773.39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其他农村综合改革支出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382.99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382.99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住房保障支出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44.83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44.83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44.83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44.83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住房公积金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44.83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44.83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部门：郸城县汲冢镇人民政府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3,861.22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1,398.22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2,462.99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一般公共服务支出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793.76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510.06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283.70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政协事务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2010206</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参政议政</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政府办公厅（室）及相关机构事务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782.04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500.15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281.90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268.03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268.03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281.90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281.90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232.12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232.12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统计信息事务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专项普查活动</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20106</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财政事务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2010650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163.86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163.86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88.88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88.88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88.88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88.88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抚恤</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2080801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死亡抚恤</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61.66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51.70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9.96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51.70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51.70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24.61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24.61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12.16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12.16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14.92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14.92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医疗保障管理事务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9.96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9.96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2101599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其他医疗保障管理事务支出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9.96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9.96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城乡社区支出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1,109.86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1,109.86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国有土地使用权出让收入安排的支出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1,109.86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1,109.86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征地和拆迁补偿支出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1,109.86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1,109.86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1,687.25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627.78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1,059.47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75.83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75.83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2130119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防灾救灾</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2130153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耕地建设与利用</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巩固脱贫攻坚成果衔接乡村振兴</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366.21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366.21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生产发展</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其他巩固脱贫攻坚成果衔接乡村振兴支出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106.21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106.21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农村综合改革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1,245.21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627.78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617.43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对村级公益事业建设的补助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88.84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88.84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对村民委员会和村党支部的补助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773.39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627.78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145.61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其他农村综合改革支出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382.99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382.99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部门：郸城县汲冢镇人民政府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2,751.36</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793.76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793.76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1,109.86</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163.86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163.86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61.66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61.66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1,109.86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1,109.86</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1,687.25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1,687.25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44.83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44.83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3,861.22</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3,861.22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2,751.36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1,109.86</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3,861.22</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3,861.22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2,751.36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1,109.86</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部门：郸城县汲冢镇人民政府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2,751.36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1,398.22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1,353.13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一般公共服务支出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793.76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510.06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283.70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人大事务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代表工作</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政协事务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2010206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参政议政</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政府办公厅（室）及相关机构事务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782.04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500.15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281.90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268.03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268.03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281.90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281.90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232.12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232.12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统计信息事务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专项普查活动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财政事务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2010650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163.86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163.86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88.88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88.88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88.88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88.88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72.72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72.72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死亡抚恤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72.72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72.72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61.66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51.70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9.96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51.70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51.70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24.61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24.61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12.16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12.16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其他行政事业单位医疗支出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14.92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14.92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医疗保障管理事务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9.96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9.96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2101599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其他医疗保障管理事务支出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9.96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9.96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1,687.25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627.78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1,059.47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农业农村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75.83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75.83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2130119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防灾救灾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30.77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30.77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2130122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农业生产发展</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2130153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耕地建设与利用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45.06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45.06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其他农业农村支出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巩固脱贫攻坚成果衔接乡村振兴</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366.21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366.21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生产发展</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社会发展</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其他巩固脱贫攻坚成果衔接乡村振兴支出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106.21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106.21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农村综合改革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1,245.21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627.78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617.43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对村级公益事业建设的补助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88.84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88.84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对村民委员会和村党支部的补助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773.39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627.78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145.61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其他农村综合改革支出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382.99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382.99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44.83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44.83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44.83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44.83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44.83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44.83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部门：郸城县汲冢镇人民政府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637.26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57.06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292.01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19.98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71.32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32.94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51.31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88.88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36.77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44.83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703.90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72.72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631.18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23.04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8.31</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1,341.16</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57.06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部门：郸城县汲冢镇人民政府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1,109.86</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1,109.86</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1,109.86</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城乡社区支出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1,109.86</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1,109.86</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1,109.86</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国有土地使用权出让收入安排的支出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1,109.86</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1,109.86</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1,109.86</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2120801</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征地和拆迁补偿支出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1,109.86</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1,109.86</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1,109.86</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jc w:val="both"/>
        <w:rPr>
          <w:lang w:val="en-US" w:eastAsia="zh-CN"/>
        </w:rPr>
        <w:sectPr>
          <w:pgSz w:w="16838" w:h="11906" w:orient="landscape"/>
          <w:pgMar w:top="1800" w:right="1440" w:bottom="1800"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部门：郸城县汲冢镇人民政府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部门：郸城县汲冢镇人民政府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3861.22</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与上年度相比，收、支总计各减少400.02万元，下降9.39%，主要原因是业务量减少，收入支出减少。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3861.22</w:t>
      </w:r>
      <w:r>
        <w:rPr>
          <w:rFonts w:hint="eastAsia" w:ascii="仿宋_GB2312" w:hAnsi="仿宋_GB2312" w:eastAsia="仿宋_GB2312" w:cs="仿宋_GB2312"/>
          <w:sz w:val="32"/>
          <w:szCs w:val="32"/>
          <w:lang w:val="en-US" w:eastAsia="zh-CN"/>
        </w:rPr>
        <w:t>万元，其中：财政拨款收入3861.22万元，占100.00%。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3861.22</w:t>
      </w:r>
      <w:r>
        <w:rPr>
          <w:rFonts w:hint="eastAsia" w:ascii="仿宋_GB2312" w:hAnsi="仿宋_GB2312" w:eastAsia="仿宋_GB2312" w:cs="仿宋_GB2312"/>
          <w:sz w:val="32"/>
          <w:szCs w:val="32"/>
          <w:lang w:val="en-US" w:eastAsia="zh-CN"/>
        </w:rPr>
        <w:t>万元，其中：基本支出1398.22万元，占36.21%;项目支出2462.99万元，占63.79%。</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3861.22</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与上年度相比，财政拨款收、支总计各减少400.02万元，下降9.39%，主要原因是业务量减少，收入支出减少。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2024年度一般公共预算财政拨款支出2751.36万元，占支出合计的71.26%。与上年度相比，一般公共预算财政拨款支出减少866.85万元，下降23.96%，主要原因是业务量减少，收入支出减少。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2751.36万元，主要用于以下方面：一般公共服务（类）支出793.76万元，占28.85%;社会保障和就业（类）支出163.86万元，占5.96%;卫生健康（类）支出61.66万元，占2.24%;农林水（类）支出1687.25万元，占61.32%;住房保障（类）支出44.83万元，占1.63%。</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1593.90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2751.36</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172.62</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一般公共服务支出（类）人大事务（款）代表工作（项）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10.76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一般公共服务支出（类）政协事务（款）参政议政（项）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276.28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268.03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，完成年初预算的97.01%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厉行节约，节俭开支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35.90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281.90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，完成年初预算的785.23%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办公经费支出、业务需求追加项目支出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230.03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232.12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，完成年初预算的100.91%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一般公共服务支出（类）统计信息事务（款）专项普查活动（项）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2.92</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经济普查活动经费支出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一般公共服务支出（类）财政事务（款）事业运行（项）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业务开展需要，追加预算支出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一般公共服务支出（类）群众团体事务（款）工会事务（项）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7.39</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59.11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88.88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，完成年初预算的150.37%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养老保险缴费指标增加，追加预算项目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72.72</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追加抚恤金支出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15.80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，完成年初预算的14.26%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11.48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24.61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，完成年初预算的214.41%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医疗保险缴费指标增加，追加预算项目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12.16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12.16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14.92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14.92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卫生健康支出（类）医疗保障管理事务（款）其他医疗保障管理事务支出（项）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9.96</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医疗保险缴费指标增加，追加预算项目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农林水支出（类）农业农村（款）防灾救灾（项）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30.77</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防汛减灾资金和防汛清理沟渠劳务费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农林水支出（类）农业农村（款）农业生产发展（项）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农林水支出（类）农业农村（款）耕地建设与利用（项）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45.06</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维修(护)费和2023年机井管护员补贴</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农林水支出（类）农业农村（款）其他农业农村支出（项）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农林水支出（类）巩固脱贫攻坚成果衔接乡村振兴（款）生产发展（项）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郸城县汲冢镇谢寨行政村辣椒产地初加工厂建设项目资金</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农林水支出（类）巩固脱贫攻坚成果衔接乡村振兴（款）社会发展（项）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农林水支出（类）巩固脱贫攻坚成果衔接乡村振兴（款）其他巩固脱贫攻坚成果衔接乡村振兴支出（项）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106.21</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2023年、2024年县派驻村第一书记专项工作经费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农林水支出（类）农村综合改革（款）对村级公益事业建设的补助（项）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88.84</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郸城县美丽乡村汲冢镇谢寨行政村绿化亮化硬化项目资金支出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农林水支出（类）农村综合改革（款）对村民委员会和村党支部的补助（项）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783.71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773.39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，完成年初预算的98.68%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农林水支出（类）农村综合改革（款）其他农村综合改革支出（项）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382.99</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陆庄行政村农村综合改革转移支付项目支出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29.55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44.83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，完成年初预算的151.69%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住房公积金缴费指标增加，追加预算项目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灾害防治及应急管理支出（类）消防救援事务（款）消防应急救援（项）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105.00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1398.22</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1341.16</w:t>
      </w:r>
      <w:r>
        <w:rPr>
          <w:rFonts w:hint="eastAsia" w:ascii="仿宋_GB2312" w:hAnsi="仿宋_GB2312" w:eastAsia="仿宋_GB2312" w:cs="仿宋_GB2312"/>
          <w:sz w:val="32"/>
          <w:szCs w:val="32"/>
          <w:lang w:val="en-US" w:eastAsia="zh-CN"/>
        </w:rPr>
        <w:t>万元，主要包括：基本工资、津贴补贴、奖金、伙食补助费、绩效工资、机关事业单位基本养老保险缴费、职工基本医疗保险缴费、其他社会保障缴费、住房公积金、抚恤金、生活补助；公用经费</w:t>
      </w:r>
      <w:r>
        <w:rPr>
          <w:rFonts w:hint="eastAsia" w:ascii="仿宋_GB2312" w:hAnsi="Times New Roman" w:eastAsia="仿宋_GB2312"/>
          <w:sz w:val="32"/>
          <w:szCs w:val="32"/>
          <w:lang w:val="en-US" w:eastAsia="zh-CN"/>
        </w:rPr>
        <w:t>57.06</w:t>
      </w:r>
      <w:r>
        <w:rPr>
          <w:rFonts w:hint="eastAsia" w:ascii="仿宋_GB2312" w:hAnsi="仿宋_GB2312" w:eastAsia="仿宋_GB2312" w:cs="仿宋_GB2312"/>
          <w:sz w:val="32"/>
          <w:szCs w:val="32"/>
          <w:lang w:val="en-US" w:eastAsia="zh-CN"/>
        </w:rPr>
        <w:t>万元，主要包括：办公费、电费、劳务费、其他交通费用、其他商品和服务支出。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2024年度政府性基金预算财政拨款支出年初预算为0.00万元，支出决算为1109.86万元，完成年初预算的100.00%，决算数与年初预算数存在差异的主要原因是新增。主要用于征地和拆迁补偿支出。年末无结转结余资金。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其他国内公务接待支出0.00</w:t>
      </w:r>
      <w:r>
        <w:rPr>
          <w:rFonts w:hint="eastAsia" w:ascii="仿宋_GB2312" w:hAnsi="仿宋_GB2312" w:eastAsia="仿宋_GB2312" w:cs="仿宋_GB2312"/>
          <w:sz w:val="32"/>
          <w:szCs w:val="32"/>
          <w:lang w:val="en-US" w:eastAsia="zh-CN"/>
        </w:rPr>
        <w:t>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我部门不是行政机关，也不是参照公务员法管理的事业部门，没有机关运行经费支出。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49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49个项目开展了绩效自评，涉及项目资金2176.62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我部门对2024年度49个项目支出进行了绩效自评，绩效自评平均得分98.79分。其中：自评结果47个为优，2个为良，0个为中，0个为差。从自评情况看，项目支出绩效管理的重视程度进一步提升，项目总体执行和完成情况较好，资金使用比较规范。</w:t>
      </w:r>
    </w:p>
    <w:tbl>
      <w:tblPr>
        <w:tblStyle w:val="2"/>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92"/>
        <w:gridCol w:w="366"/>
        <w:gridCol w:w="1096"/>
        <w:gridCol w:w="766"/>
        <w:gridCol w:w="4267"/>
        <w:gridCol w:w="4518"/>
        <w:gridCol w:w="766"/>
        <w:gridCol w:w="601"/>
        <w:gridCol w:w="546"/>
        <w:gridCol w:w="76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2024年省级奖补村级经费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待分户</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郸城县汲冢镇人民政府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w:t>
            </w:r>
            <w:r>
              <w:rPr>
                <w:rStyle w:val="21"/>
                <w:rFonts w:hint="eastAsia" w:ascii="宋体" w:hAnsi="宋体" w:eastAsia="宋体" w:cs="宋体"/>
                <w:sz w:val="21"/>
                <w:szCs w:val="21"/>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8.25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8.25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8.25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8.25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本项目的资金拨付有完整的审批程序和手续，未出现审批程序和手续不合规情况。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预拨2024年省级奖补资金</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按计划完成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资金拨付乡镇办满意度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村级组织运转经费资金数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≤8.25万元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8.25万元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保障个数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=33个</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33个</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足额发放资金数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资金发放及时性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提高协理员工作积极性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tbl>
      <w:tblPr>
        <w:tblStyle w:val="2"/>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84"/>
        <w:gridCol w:w="373"/>
        <w:gridCol w:w="1096"/>
        <w:gridCol w:w="766"/>
        <w:gridCol w:w="4222"/>
        <w:gridCol w:w="4564"/>
        <w:gridCol w:w="766"/>
        <w:gridCol w:w="601"/>
        <w:gridCol w:w="546"/>
        <w:gridCol w:w="76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关于汲冢镇退伍安置人员何元富邢杰工资的申请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郸城县汲冢镇人民政府</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郸城县汲冢镇人民政府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本项目的资金拨付有完整的审批程序和手续，未出现审批程序和手续不合规情况。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关于汲冢镇退伍安置人员何元富邢杰工资的申请</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按计划完成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保障人数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=2人</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2人</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足额发放资金数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资金发放及时性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保障干部的工作生活</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4年度部门整体支出进行绩效自评，得分为93.61分。从自评情况看，各项工作总体完成情况较好，部门履职效能进一步提升。</w:t>
      </w: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67"/>
        <w:gridCol w:w="456"/>
        <w:gridCol w:w="731"/>
        <w:gridCol w:w="1147"/>
        <w:gridCol w:w="1147"/>
        <w:gridCol w:w="868"/>
        <w:gridCol w:w="495"/>
        <w:gridCol w:w="682"/>
        <w:gridCol w:w="868"/>
        <w:gridCol w:w="868"/>
        <w:gridCol w:w="5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0" w:type="auto"/>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部门（单位）名称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郸城县汲冢镇人民政府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部门整体支出情况(万元)</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部门预算总额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1593.89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7634.49</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3854.22</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50.48 %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资金来源：（1）财政拨款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1593.89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5484.84</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3854.22</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70.27 %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（2）财政专户管理资金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（3）单位资金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2149.65</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w:t>
            </w:r>
          </w:p>
        </w:tc>
        <w:tc>
          <w:tcPr>
            <w:tcW w:w="0" w:type="auto"/>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目标1：以乡村振兴、人居环境整治、文明创建、党的建设、户厕改造、防汛救灾等重点任务为抓手，重精准、补短板；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目标2：聚焦提升基层党建，着力巩固脱贫攻坚成果与乡村振兴有效衔接，加强保障和改善民生，合力维护社会稳定</w:t>
            </w:r>
          </w:p>
        </w:tc>
        <w:tc>
          <w:tcPr>
            <w:tcW w:w="0" w:type="auto"/>
            <w:gridSpan w:val="6"/>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已完成乡村振兴、人居环境整治、文明创建、党的建设、户厕改造、防汛救灾等重点任务为抓手，重精准、补短板；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聚焦提升基层党建，着力巩固脱贫攻坚成果与乡村振兴有效衔接，加强保障和改善民生，合力维护社会稳定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任务名称</w:t>
            </w:r>
          </w:p>
        </w:tc>
        <w:tc>
          <w:tcPr>
            <w:tcW w:w="0" w:type="auto"/>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主要内容</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有效衔接，巩固拓展脱贫攻坚成果和乡村振兴取得新成效</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巩固脱贫攻坚成果作为重大政治任务、头等大事和第一民生工程，围绕解决“两不愁三保障”全面推进“三落实、三精准、三保障”，突出“产业就业”稳增收，强化“扶志扶智”增动力，聚焦“防风险防返贫”保成效。</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生态宜居，美丽乡村建设取得新进展</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以“五清”为主要任务，以宣传教育为先导，以“三无一规范一眼净”为目标，全民动员，精心组织，积极行动，全镇环境卫生整治工作取得了一定成果。成立综合行政执法队伍，对街道环境卫生、经营秩序等实行规范化管理，充分保障整治工作成果。</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有效衔接，巩固拓展脱贫攻坚成果和乡村振兴取得新成效</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巩固脱贫攻坚成果作为重大政治任务、头等大事和第一民生工程，围绕解决“两不愁三保障”全面推进“三落实、三精准、三保障”，突出“产业就业”稳增收，强化“扶志扶智”增动力，聚焦“防风险防返贫”保成效。</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生态宜居，美丽乡村建设取得新进展</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以“五清”为主要任务，以宣传教育为先导，以“三无一规范一眼净”为目标，全民动员，精心组织，积极行动，全镇环境卫生整治工作取得了一定成果。成立综合行政执法队伍，对街道环境卫生、经营秩序等实行规范化管理，充分保障整治工作成果。</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投入管理指标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工作目标管理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年度履职目标相关性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相关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工作任务科学性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科学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绩效指标合理性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预算和财务管理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预算编制完整性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完整</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专项资金细化率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预算调整率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378.98%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3689.80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项目增加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结转结余率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“三公经费”控制率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政府采购执行率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决算真实性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真实</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资金使用合规性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管理制度健全性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健全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预决算信息公开性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公开</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资产管理规范性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绩效监控完成率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绩效目标编制完成率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绩效自评完成率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部门绩效评价完成率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评价结果应用率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重点工作任务完成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有效衔接，巩固拓展脱贫攻坚成果和乡村振兴取得新成效</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生态宜居，美丽乡村建设取得新进展</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履职目标实现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履职目标1实现率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履职目标2实现率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履职效益</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提升基层党建</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加快美丽乡村进程，改善群众居住环境</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群众满意度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93.61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bookmarkStart w:id="0" w:name="_GoBack"/>
      <w:bookmarkEnd w:id="0"/>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yZmNhZmMwYTRkMzdjNDc0ZDBiODA4ZTNmNjg2YzYifQ=="/>
  </w:docVars>
  <w:rsids>
    <w:rsidRoot w:val="00000000"/>
    <w:rsid w:val="02F23728"/>
    <w:rsid w:val="0E3C4462"/>
    <w:rsid w:val="10493BCD"/>
    <w:rsid w:val="15C6200C"/>
    <w:rsid w:val="28A061A3"/>
    <w:rsid w:val="34EA5626"/>
    <w:rsid w:val="418B2E21"/>
    <w:rsid w:val="4DA57800"/>
    <w:rsid w:val="62D367D7"/>
    <w:rsid w:val="63EF623B"/>
    <w:rsid w:val="7CB97D8F"/>
    <w:rsid w:val="7FCB752A"/>
    <w:rsid w:val="F6B7DDF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45</Pages>
  <Words>8569</Words>
  <Characters>13630</Characters>
  <Lines>1</Lines>
  <Paragraphs>1</Paragraphs>
  <TotalTime>1</TotalTime>
  <ScaleCrop>false</ScaleCrop>
  <LinksUpToDate>false</LinksUpToDate>
  <CharactersWithSpaces>14526</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2025-12-07T11:04:59Z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eyJoZGlkIjoiYjkyZmNhZmMwYTRkMzdjNDc0ZDBiODA4ZTNmNjg2YzYiLCJ1c2VySWQiOiI0OTE0MjE5NzUifQ==</vt:lpwstr>
  </property>
  <property fmtid="{D5CDD505-2E9C-101B-9397-08002B2CF9AE}" pid="4" name="ICV">
    <vt:lpwstr>9A9AD7BF3A42FE0BDBEE34691E680F96</vt:lpwstr>
  </property>
</Properties>
</file>