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郸城县植物保护植物检疫站部门决算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郸城县植物保护植物检疫站概况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郸城县植物保护植物检疫站概况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郸城县植物保护植物检疫站为农业农村局二级预算单位。</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负责调查病虫动态和农作物重大病虫草鼠害监测与防控工作；承担病虫预测预报，发布中长期预报，研究新发生病重害发生规律，制定防预方法；负责有关新农药和新药械试验，示范、推广、监测合理抗药性病虫害，进行农药需求预测，开发利用植保新技术，组织技术培训和技术服务；承担国内植物检疫工作，组织植物检疫性有害生物普查，监测和治理。</w:t>
      </w:r>
    </w:p>
    <w:p>
      <w:pPr>
        <w:keepNext w:val="0"/>
        <w:keepLines w:val="0"/>
        <w:pageBreakBefore w:val="0"/>
        <w:widowControl/>
        <w:shd w:val="clear" w:color="auto" w:fill="auto"/>
        <w:kinsoku/>
        <w:wordWrap w:val="0"/>
        <w:overflowPunct/>
        <w:topLinePunct w:val="0"/>
        <w:autoSpaceDE/>
        <w:autoSpaceDN/>
        <w:bidi w:val="0"/>
        <w:ind w:firstLine="640" w:firstLineChars="200"/>
        <w:jc w:val="left"/>
        <w:rPr>
          <w:rFonts w:hint="eastAsia" w:ascii="仿宋" w:hAnsi="仿宋" w:eastAsia="仿宋" w:cs="仿宋"/>
          <w:kern w:val="0"/>
          <w:sz w:val="32"/>
          <w:szCs w:val="32"/>
          <w:lang w:val="en-US" w:eastAsia="zh-CN"/>
        </w:rPr>
      </w:pPr>
      <w:r>
        <w:rPr>
          <w:rFonts w:hint="eastAsia" w:ascii="仿宋_GB2312" w:hAnsi="仿宋_GB2312" w:eastAsia="仿宋_GB2312" w:cs="仿宋_GB2312"/>
          <w:kern w:val="0"/>
          <w:sz w:val="32"/>
          <w:szCs w:val="32"/>
          <w:lang w:val="en-US" w:eastAsia="zh-CN"/>
        </w:rPr>
        <w:t xml:space="preserve"> </w:t>
      </w:r>
      <w:r>
        <w:rPr>
          <w:rFonts w:hint="eastAsia" w:ascii="仿宋" w:hAnsi="仿宋" w:eastAsia="仿宋" w:cs="仿宋"/>
          <w:kern w:val="0"/>
          <w:sz w:val="32"/>
          <w:szCs w:val="32"/>
          <w:lang w:val="en-US" w:eastAsia="zh-CN"/>
        </w:rPr>
        <w:t>从决算单位构成看，郸城县植物保护植物检疫站单位决算无独立核算的下属单位。本级决算为单位决算。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单位：郸城县植物保护植物检疫站</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5.00</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5.00</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4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24"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单位：郸城县植物保护植物检疫站</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24"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附属单位上缴收入</w:t>
            </w:r>
          </w:p>
        </w:tc>
        <w:tc>
          <w:tcPr>
            <w:tcW w:w="869"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869"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2130122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农业生产发展</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49"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单位：郸城县植物保护植物检疫站</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2130122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农业生产发展</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单位：郸城县植物保护植物检疫站</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单位：郸城县植物保护植物检疫站</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2130122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农业生产发展</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单位：郸城县植物保护植物检疫站</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单位：郸城县植物保护植物检疫站</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单位：郸城县植物保护植物检疫站</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单位：郸城县植物保护植物检疫站</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5.00</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与上年度相比，收、支总计各减少2.20万元，下降30.56%，主要原因是本年度业务活动减少，收支减少。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5.00</w:t>
      </w:r>
      <w:r>
        <w:rPr>
          <w:rFonts w:hint="eastAsia" w:ascii="仿宋_GB2312" w:hAnsi="仿宋_GB2312" w:eastAsia="仿宋_GB2312" w:cs="仿宋_GB2312"/>
          <w:sz w:val="32"/>
          <w:szCs w:val="32"/>
          <w:lang w:val="en-US" w:eastAsia="zh-CN"/>
        </w:rPr>
        <w:t>万元，其中：财政拨款收入5.00万元，占100.00%。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5.00</w:t>
      </w:r>
      <w:r>
        <w:rPr>
          <w:rFonts w:hint="eastAsia" w:ascii="仿宋_GB2312" w:hAnsi="仿宋_GB2312" w:eastAsia="仿宋_GB2312" w:cs="仿宋_GB2312"/>
          <w:sz w:val="32"/>
          <w:szCs w:val="32"/>
          <w:lang w:val="en-US" w:eastAsia="zh-CN"/>
        </w:rPr>
        <w:t>万元，其中：基本支出5.00万元，占100.00%。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5.00</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与上年度相比，财政拨款收、支总计各减少2.20万元，下降30.56%，主要原因是本年度业务活动减少，收支减少。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2024年度一般公共预算财政拨款支出5.00万元，占支出合计的100.00%。与上年度相比，一般公共预算财政拨款支出减少2.20万元，下降30.56%，主要原因是本年度业务活动减少，支出减少。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年度一般公共预算财政拨款支出5.00万元，主要用于以下方面：农林水（类）支出5.00万元，占100.00%。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5.00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5.00</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6.48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本年度业务活动减少，支出减少。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农林水支出（类）农业农村（款）农业生产发展（项）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本年度业务活动增加，支出增加。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5.00</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5.00</w:t>
      </w:r>
      <w:r>
        <w:rPr>
          <w:rFonts w:hint="eastAsia" w:ascii="仿宋_GB2312" w:hAnsi="仿宋_GB2312" w:eastAsia="仿宋_GB2312" w:cs="仿宋_GB2312"/>
          <w:sz w:val="32"/>
          <w:szCs w:val="32"/>
          <w:lang w:val="en-US" w:eastAsia="zh-CN"/>
        </w:rPr>
        <w:t>万元，主要包括：基本工资；公用经费</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万元，主要包括：办公费。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6.48</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郸城县农业农村局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DFC1F9"/>
    <w:multiLevelType w:val="singleLevel"/>
    <w:tmpl w:val="F9DFC1F9"/>
    <w:lvl w:ilvl="0" w:tentative="0">
      <w:start w:val="4"/>
      <w:numFmt w:val="chineseCounting"/>
      <w:suff w:val="space"/>
      <w:lvlText w:val="第%1部分"/>
      <w:lvlJc w:val="left"/>
      <w:rPr>
        <w:rFonts w:hint="eastAsia"/>
      </w:rPr>
    </w:lvl>
  </w:abstractNum>
  <w:abstractNum w:abstractNumId="1">
    <w:nsid w:val="00000001"/>
    <w:multiLevelType w:val="singleLevel"/>
    <w:tmpl w:val="00000001"/>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C5D743D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Style w:val="2"/>
      <w:tblCellMar>
        <w:top w:w="0" w:type="dxa"/>
        <w:left w:w="108" w:type="dxa"/>
        <w:bottom w:w="0" w:type="dxa"/>
        <w:right w:w="108" w:type="dxa"/>
      </w:tblCellMar>
    </w:tblPr>
    <w:trPr>
      <w:wBefore w:w="0" w:type="dxa"/>
    </w:tr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trPr>
      <w:wBefore w:w="0" w:type="dxa"/>
    </w:tr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2</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2025-12-06T14:18:05Z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vt:lpwstr>
  </property>
  <property fmtid="{D5CDD505-2E9C-101B-9397-08002B2CF9AE}" pid="4" name="ICV">
    <vt:lpwstr>CEE82262369A8E099DCA3369C1B9EB44</vt:lpwstr>
  </property>
</Properties>
</file>