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郸城县原种场部门决算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郸城县原种场概况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郸城县原种场概况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为良种繁育促进农业发展提供服务。作物种子、良种繁育、国有农场农作物良种繁育及供应、良种选育与技术推广、相关技术与管理人员培训、农作物良种信息服务。</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郸城县原种场为郸城县农业农村局二级预算单位。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从决算单位构成看，郸城县原种场单位决算无独立核算的下属单位。本级决算为单位决算。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单位：郸城县原种场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16.55</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16.55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16.55</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16.55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16.55</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16.55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4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24"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单位：郸城县原种场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24"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附属单位上缴收入</w:t>
            </w:r>
          </w:p>
        </w:tc>
        <w:tc>
          <w:tcPr>
            <w:tcW w:w="869"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869"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农业农村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2130104</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49"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单位：郸城县原种场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农业农村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2130104</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单位：郸城县原种场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单位：郸城县原种场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16.55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16.55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农林水支出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16.55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16.55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农业农村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16.55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16.55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2130104</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16.55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16.55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单位：郸城县原种场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13.55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13.55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0.30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0.70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13.55</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单位：郸城县原种场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单位：郸城县原种场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单位：郸城县原种场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16.55</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与上年度相比，收、支总计各减少9.45万元，下降36.36%，主要原因是本年度业务减少，收支减少。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16.55</w:t>
      </w:r>
      <w:r>
        <w:rPr>
          <w:rFonts w:hint="eastAsia" w:ascii="仿宋_GB2312" w:hAnsi="仿宋_GB2312" w:eastAsia="仿宋_GB2312" w:cs="仿宋_GB2312"/>
          <w:sz w:val="32"/>
          <w:szCs w:val="32"/>
          <w:lang w:val="en-US" w:eastAsia="zh-CN"/>
        </w:rPr>
        <w:t>万元，其中：财政拨款收入16.55万元，占100.00%。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16.55</w:t>
      </w:r>
      <w:r>
        <w:rPr>
          <w:rFonts w:hint="eastAsia" w:ascii="仿宋_GB2312" w:hAnsi="仿宋_GB2312" w:eastAsia="仿宋_GB2312" w:cs="仿宋_GB2312"/>
          <w:sz w:val="32"/>
          <w:szCs w:val="32"/>
          <w:lang w:val="en-US" w:eastAsia="zh-CN"/>
        </w:rPr>
        <w:t>万元，其中：基本支出16.55万元，占100.00%。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16.55</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与上年度相比，财政拨款收、支总计各减少9.45万元，下降36.36%，主要原因是本年度业务活动减少，收支减少。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2024年度一般公共预算财政拨款支出16.55万元，占支出合计的100.00%。与上年度相比，一般公共预算财政拨款支出减少9.45万元，下降36.36%，主要原因是本年度业务活动减少，支出减少。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年度一般公共预算财政拨款支出16.55万元，主要用于以下方面：农林水（类）支出16.55万元，占100.00%。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26.04</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16.55</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63.54</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16.55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，完成年初预算的63.64%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本年度业务活动减少，支出减少。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16.55</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13.55</w:t>
      </w:r>
      <w:r>
        <w:rPr>
          <w:rFonts w:hint="eastAsia" w:ascii="仿宋_GB2312" w:hAnsi="仿宋_GB2312" w:eastAsia="仿宋_GB2312" w:cs="仿宋_GB2312"/>
          <w:sz w:val="32"/>
          <w:szCs w:val="32"/>
          <w:lang w:val="en-US" w:eastAsia="zh-CN"/>
        </w:rPr>
        <w:t>万元，主要包括：基本工资；公用经费</w:t>
      </w:r>
      <w:r>
        <w:rPr>
          <w:rFonts w:hint="eastAsia" w:ascii="仿宋_GB2312" w:hAnsi="Times New Roman" w:eastAsia="仿宋_GB2312"/>
          <w:sz w:val="32"/>
          <w:szCs w:val="32"/>
          <w:lang w:val="en-US" w:eastAsia="zh-CN"/>
        </w:rPr>
        <w:t>3.00</w:t>
      </w:r>
      <w:r>
        <w:rPr>
          <w:rFonts w:hint="eastAsia" w:ascii="仿宋_GB2312" w:hAnsi="仿宋_GB2312" w:eastAsia="仿宋_GB2312" w:cs="仿宋_GB2312"/>
          <w:sz w:val="32"/>
          <w:szCs w:val="32"/>
          <w:lang w:val="en-US" w:eastAsia="zh-CN"/>
        </w:rPr>
        <w:t>万元，主要包括：办公费、咨询费、电费。</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12</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93.75</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郸城县农业农村局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numPr>
          <w:ilvl w:val="0"/>
          <w:numId w:val="2"/>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widowControl w:val="0"/>
        <w:numPr>
          <w:numId w:val="0"/>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abstractNum w:abstractNumId="1">
    <w:nsid w:val="3DEFC34C"/>
    <w:multiLevelType w:val="singleLevel"/>
    <w:tmpl w:val="3DEFC34C"/>
    <w:lvl w:ilvl="0" w:tentative="0">
      <w:start w:val="4"/>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4F9C03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Style w:val="2"/>
      <w:tblCellMar>
        <w:top w:w="0" w:type="dxa"/>
        <w:left w:w="108" w:type="dxa"/>
        <w:bottom w:w="0" w:type="dxa"/>
        <w:right w:w="108" w:type="dxa"/>
      </w:tblCellMar>
    </w:tblPr>
    <w:trPr>
      <w:wBefore w:w="0" w:type="dxa"/>
    </w:tr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rPr>
      <w:wBefore w:w="0" w:type="dxa"/>
    </w:tr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trPr>
      <w:wBefore w:w="0" w:type="dxa"/>
    </w:tr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rPr>
      <w:wBefore w:w="0" w:type="dxa"/>
    </w:tr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1</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2025-12-06T14:23:37Z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vt:lpwstr>
  </property>
  <property fmtid="{D5CDD505-2E9C-101B-9397-08002B2CF9AE}" pid="4" name="ICV">
    <vt:lpwstr>228EE8CA32E64D81E9CB3369F4C7481D</vt:lpwstr>
  </property>
</Properties>
</file>