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郸城县国营园艺场部门决算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郸城县国营园艺场概况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郸城县国营园艺场概况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果树、农作物种植。</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郸城县国营园艺场为农业农村局二级预算单位。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从决算单位构成看，郸城县国营园艺场单位决算无独立核算的下属单位。本级决算为单位决算。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343.94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4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24"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24"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附属单位上缴收入</w:t>
            </w:r>
          </w:p>
        </w:tc>
        <w:tc>
          <w:tcPr>
            <w:tcW w:w="869"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69"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869"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其他农业农村支出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322.47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322.47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69"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49"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323.35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323.35</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2130104</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20.59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其他农业农村支出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322.47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水利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0.88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343.94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343.94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20.59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323.35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343.94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20.59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323.35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343.06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20.59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322.47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2130104</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20.59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20.59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322.47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322.47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水利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0.88</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0.16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14.27</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单位：郸城县国营园艺场</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343.94</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与上年度相比，收、支总计各减少29.45万元，下降7.89%，主要原因是本年度业务活动减少，收支减少。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343.94</w:t>
      </w:r>
      <w:r>
        <w:rPr>
          <w:rFonts w:hint="eastAsia" w:ascii="仿宋_GB2312" w:hAnsi="仿宋_GB2312" w:eastAsia="仿宋_GB2312" w:cs="仿宋_GB2312"/>
          <w:sz w:val="32"/>
          <w:szCs w:val="32"/>
          <w:lang w:val="en-US" w:eastAsia="zh-CN"/>
        </w:rPr>
        <w:t>万元，其中：财政拨款收入343.94万元，占100.00%。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343.94</w:t>
      </w:r>
      <w:r>
        <w:rPr>
          <w:rFonts w:hint="eastAsia" w:ascii="仿宋_GB2312" w:hAnsi="仿宋_GB2312" w:eastAsia="仿宋_GB2312" w:cs="仿宋_GB2312"/>
          <w:sz w:val="32"/>
          <w:szCs w:val="32"/>
          <w:lang w:val="en-US" w:eastAsia="zh-CN"/>
        </w:rPr>
        <w:t>万元，其中：基本支出20.59万元，占5.99%;项目支出323.35万元，占94.01%。</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343.94</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与上年度相比，财政拨款收、支总计各减少29.45万元，下降7.89%，主要原因是本年度业务活动减少，收支减少。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2024年度一般公共预算财政拨款支出343.94万元，占支出合计的100.00%。与上年度相比，一般公共预算财政拨款支出减少29.45万元，下降7.89%，主要原因是本年度业务活动减少，支出减少。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年度一般公共预算财政拨款支出343.94万元，主要用于以下方面：农林水（类）支出343.94万元，占100.00%。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26.96</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343.94</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1275.74</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20.59</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本年度业务活动增加，支出减少。</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322.47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，完成年初预算的1194.33%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根据业务活动发生，追加支出。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农林水支出（类）水利（款）一般行政管理事务（项）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0.88</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本年度业务活动增加，支出增加。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20.59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14.27</w:t>
      </w:r>
      <w:r>
        <w:rPr>
          <w:rFonts w:hint="eastAsia" w:ascii="仿宋_GB2312" w:hAnsi="仿宋_GB2312" w:eastAsia="仿宋_GB2312" w:cs="仿宋_GB2312"/>
          <w:sz w:val="32"/>
          <w:szCs w:val="32"/>
          <w:lang w:val="en-US" w:eastAsia="zh-CN"/>
        </w:rPr>
        <w:t>万元，主要包括：基本工资；公用经费</w:t>
      </w:r>
      <w:r>
        <w:rPr>
          <w:rFonts w:hint="eastAsia" w:ascii="仿宋_GB2312" w:hAnsi="Times New Roman" w:eastAsia="仿宋_GB2312"/>
          <w:sz w:val="32"/>
          <w:szCs w:val="32"/>
          <w:lang w:val="en-US" w:eastAsia="zh-CN"/>
        </w:rPr>
        <w:t>6.32</w:t>
      </w:r>
      <w:r>
        <w:rPr>
          <w:rFonts w:hint="eastAsia" w:ascii="仿宋_GB2312" w:hAnsi="仿宋_GB2312" w:eastAsia="仿宋_GB2312" w:cs="仿宋_GB2312"/>
          <w:sz w:val="32"/>
          <w:szCs w:val="32"/>
          <w:lang w:val="en-US" w:eastAsia="zh-CN"/>
        </w:rPr>
        <w:t>万元，主要包括：办公费、印刷费、差旅费、维修（护）费、租赁费、劳务费。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18.56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99.97</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郸城县农业农村局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abstractNum w:abstractNumId="1">
    <w:nsid w:val="7F9FDDAD"/>
    <w:multiLevelType w:val="singleLevel"/>
    <w:tmpl w:val="7F9FDDAD"/>
    <w:lvl w:ilvl="0" w:tentative="0">
      <w:start w:val="4"/>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F2450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semiHidden/>
    <w:unhideWhenUsed/>
    <w:qFormat/>
    <w:uiPriority w:val="99"/>
    <w:tblPr>
      <w:tblStyle w:val="2"/>
      <w:tblCellMar>
        <w:top w:w="0" w:type="dxa"/>
        <w:left w:w="108" w:type="dxa"/>
        <w:bottom w:w="0" w:type="dxa"/>
        <w:right w:w="108" w:type="dxa"/>
      </w:tblCellMar>
    </w:tblPr>
    <w:trPr>
      <w:wBefore w:w="0" w:type="dxa"/>
    </w:tr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trPr>
      <w:wBefore w:w="0" w:type="dxa"/>
    </w:tr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trPr>
      <w:wBefore w:w="0" w:type="dxa"/>
    </w:tr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1</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2025-12-06T14:25:07Z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vt:lpwstr>
  </property>
  <property fmtid="{D5CDD505-2E9C-101B-9397-08002B2CF9AE}" pid="4" name="ICV">
    <vt:lpwstr>B55E0A70213BA37143CC33691564433E</vt:lpwstr>
  </property>
</Properties>
</file>