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郸城县鱼苗良种场部门决算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郸城县鱼苗良种场概况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郸城县鱼苗良种场概况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为优良种苗与先进技术提供，促进水产养殖业发展服务。水产品种育苗，淡水产品种苗繁育，水产养殖技术推广，淡水养殖技术推广，淡水养殖疫病防治技术推广。</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内设办公室及技术推广室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从决算单位构成看，郸城县鱼苗良种场单位决算无独立核算的下属单位。本级决算为单位决算。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9.19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机关服务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8.39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机关服务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9.19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9.19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8.39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8.39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机关服务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5.40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0.08</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6.80</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2.39</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单位：郸城县鱼苗良种场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9.19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与上年度相比，收、支总计各增加9.19万元，增长0.00%，主要原因是收支包括工资和经费，经费减少，工资不变。。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9.19</w:t>
      </w:r>
      <w:r>
        <w:rPr>
          <w:rFonts w:hint="eastAsia" w:ascii="仿宋_GB2312" w:hAnsi="仿宋_GB2312" w:eastAsia="仿宋_GB2312" w:cs="仿宋_GB2312"/>
          <w:sz w:val="32"/>
          <w:szCs w:val="32"/>
          <w:lang w:val="en-US" w:eastAsia="zh-CN"/>
        </w:rPr>
        <w:t>万元，其中：财政拨款收入9.19万元，占100.00%。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9.19</w:t>
      </w:r>
      <w:r>
        <w:rPr>
          <w:rFonts w:hint="eastAsia" w:ascii="仿宋_GB2312" w:hAnsi="仿宋_GB2312" w:eastAsia="仿宋_GB2312" w:cs="仿宋_GB2312"/>
          <w:sz w:val="32"/>
          <w:szCs w:val="32"/>
          <w:lang w:val="en-US" w:eastAsia="zh-CN"/>
        </w:rPr>
        <w:t>万元，其中：基本支出9.19万元，占100.00%。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9.19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与上年度相比，财政拨款收、支总计各增加9.19万元，增长0.00%，主要原因是收支包括工资和经费，经费减少，工资不变。。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2024年度一般公共预算财政拨款支出9.19万元，占支出合计的100.00%。与上年度相比，一般公共预算财政拨款支出增加9.19万元，增长0.00%，主要原因是收支包括工资和经费，经费减少，工资不变。。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年度一般公共预算财政拨款支出9.19万元，主要用于以下方面：农林水（类）支出9.19万元，占100.00%。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11.38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9.19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80.75</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农林水支出（类）农业农村（款）事业运行（项）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0.80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农林水支出（类）水利（款）行政运行（项）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农林水支出（类）水利（款）一般行政管理事务（项）</w:t>
      </w:r>
      <w:r>
        <w:rPr>
          <w:rFonts w:hint="eastAsia" w:ascii="仿宋" w:hAnsi="仿宋" w:eastAsia="仿宋" w:cs="仿宋_GB2312"/>
          <w:sz w:val="32"/>
          <w:szCs w:val="32"/>
          <w:lang w:val="en-US" w:eastAsia="zh-CN"/>
        </w:rPr>
        <w:t>。年初预算为万元，支出决算为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农林水支出（类）水利（款）机关服务（项）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5.40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，完成年初预算的81.82%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年终决算时工资尚未发放完毕。</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农林水支出（类）水利（款）水利行业业务管理（项）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4.78</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9.19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6.80</w:t>
      </w:r>
      <w:r>
        <w:rPr>
          <w:rFonts w:hint="eastAsia" w:ascii="仿宋_GB2312" w:hAnsi="仿宋_GB2312" w:eastAsia="仿宋_GB2312" w:cs="仿宋_GB2312"/>
          <w:sz w:val="32"/>
          <w:szCs w:val="32"/>
          <w:lang w:val="en-US" w:eastAsia="zh-CN"/>
        </w:rPr>
        <w:t>万元，主要包括：基本工资、津贴补贴；公用经费</w:t>
      </w:r>
      <w:r>
        <w:rPr>
          <w:rFonts w:hint="eastAsia" w:ascii="仿宋_GB2312" w:hAnsi="Times New Roman" w:eastAsia="仿宋_GB2312"/>
          <w:sz w:val="32"/>
          <w:szCs w:val="32"/>
          <w:lang w:val="en-US" w:eastAsia="zh-CN"/>
        </w:rPr>
        <w:t>2.39</w:t>
      </w:r>
      <w:r>
        <w:rPr>
          <w:rFonts w:hint="eastAsia" w:ascii="仿宋_GB2312" w:hAnsi="仿宋_GB2312" w:eastAsia="仿宋_GB2312" w:cs="仿宋_GB2312"/>
          <w:sz w:val="32"/>
          <w:szCs w:val="32"/>
          <w:lang w:val="en-US" w:eastAsia="zh-CN"/>
        </w:rPr>
        <w:t>万元，主要包括：办公费、电费、维修（护）费、专用材料费、其他商品和服务支出。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 xml:space="preserve"> 0</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水利局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我单位对2024年度0项目进行了部门评价，评价得分0分，评价等级为0，评价结果是：0。</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2"/>
          <w:sz w:val="32"/>
          <w:szCs w:val="32"/>
          <w:lang w:val="en-US" w:eastAsia="zh-CN"/>
        </w:rPr>
        <w:t>财政部门未选取我单位2024年度预算项目开展财政重点评价。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3FEFDC97"/>
    <w:multiLevelType w:val="singleLevel"/>
    <w:tmpl w:val="3FEFDC97"/>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F6FD38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2025-12-06T14:11:12Z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FD5F55D833776C3400C93369A9808F9A</vt:lpwstr>
  </property>
</Properties>
</file>