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郸城县乡村振兴信息中心部门</w:t>
      </w:r>
      <w:bookmarkStart w:id="0" w:name="_GoBack"/>
      <w:bookmarkEnd w:id="0"/>
      <w:r>
        <w:rPr>
          <w:rFonts w:hint="eastAsia" w:ascii="黑体" w:hAnsi="黑体" w:eastAsia="黑体" w:cs="黑体"/>
          <w:sz w:val="52"/>
          <w:szCs w:val="52"/>
          <w:lang w:val="en-US" w:eastAsia="zh-CN"/>
        </w:rPr>
        <w:t>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郸城县乡村振兴信息中心概况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第一部分郸城县乡村振兴信息中心概况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负责全县防返贫监测预警，指导全县开展帮扶工作。</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共有人员9名，设主任1名，副主任1名。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从决算单位构成看，郸城县乡村振兴信息中心单位决算无独立核算的下属单位。本级决算为单位决算。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单位：郸城县乡村振兴信息中心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80.85</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8.68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65.43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80.85</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80.85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80.85</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80.85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4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24"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单位：郸城县乡村振兴信息中心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24"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附属单位上缴收入</w:t>
            </w:r>
          </w:p>
        </w:tc>
        <w:tc>
          <w:tcPr>
            <w:tcW w:w="869"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869"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80.85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80.85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8.27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8.27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8.27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8.27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0.41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0.41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0.41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0.41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其他行政事业单位医疗支出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65.43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65.43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巩固脱贫攻坚成果衔接乡村振兴</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65.43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65.43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9.45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9.45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49"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单位：郸城县乡村振兴信息中心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80.85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71.40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9.45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8.27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8.27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8.27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8.27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0.41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0.41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0.41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0.41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其他行政事业单位医疗支出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65.43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9.45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巩固脱贫攻坚成果衔接乡村振兴</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65.43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9.45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9.45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9.45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单位：郸城县乡村振兴信息中心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80.85</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65.43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65.43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80.85</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80.85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80.85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80.85</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80.85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80.85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单位：郸城县乡村振兴信息中心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80.85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71.40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9.45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8.68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8.68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行政事业单位养老支出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8.27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8.27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机关事业单位基本养老保险缴费支出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8.27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8.27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0.41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0.41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0.41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0.41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卫生健康支出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其他行政事业单位医疗支出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0.07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0.07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农林水支出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65.43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55.98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9.45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巩固脱贫攻坚成果衔接乡村振兴</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65.43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55.98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9.45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9.45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9.45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55.98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55.98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住房保障支出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住房公积金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单位：郸城县乡村振兴信息中心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65.62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38.61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10.89</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0.75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0.41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8.27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0.48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65.62</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单位：郸城县乡村振兴信息中心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单位：郸城县乡村振兴信息中心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单位：郸城县乡村振兴信息中心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80.85</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与上年度相比，收、支总计各增加80.85万元，增长0.00%，主要原因是拓展衔接期工作调整，实际工作任务有所变化。。</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80.85</w:t>
      </w:r>
      <w:r>
        <w:rPr>
          <w:rFonts w:hint="eastAsia" w:ascii="仿宋_GB2312" w:hAnsi="仿宋_GB2312" w:eastAsia="仿宋_GB2312" w:cs="仿宋_GB2312"/>
          <w:sz w:val="32"/>
          <w:szCs w:val="32"/>
          <w:lang w:val="en-US" w:eastAsia="zh-CN"/>
        </w:rPr>
        <w:t>万元，其中：财政拨款收入80.85万元，占100.00%。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80.85</w:t>
      </w:r>
      <w:r>
        <w:rPr>
          <w:rFonts w:hint="eastAsia" w:ascii="仿宋_GB2312" w:hAnsi="仿宋_GB2312" w:eastAsia="仿宋_GB2312" w:cs="仿宋_GB2312"/>
          <w:sz w:val="32"/>
          <w:szCs w:val="32"/>
          <w:lang w:val="en-US" w:eastAsia="zh-CN"/>
        </w:rPr>
        <w:t>万元，其中：基本支出71.40万元，占88.31%;项目支出9.45万元，占11.69%。</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80.85</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与上年度相比，财政拨款收、支总计各增加80.85万元，增长0.00%，主要原因是拓展衔接期工作调整，实际工作任务有所变化。。</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2024年度一般公共预算财政拨款支出80.85万元，占支出合计的100.00%。与上年度相比，一般公共预算财政拨款支出增加80.85万元，增长0.00%，主要原因是拓展衔接期工作调整，实际工作任务有所变化。。</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80.85万元，主要用于以下方面：社会保障和就业（类）支出8.68万元，占10.73%;卫生健康（类）支出3.37万元，占4.17%;农林水（类）支出65.43万元，占80.92%;住房保障（类）支出3.37万元，占4.17%。</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91.76</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80.85</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88.11</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71.40</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65.62</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万元，主要包括：基本工资、津贴补贴、绩效工资、机关事业单位基本养老保险缴费、职工基本医疗保险缴费、其他社会保障缴费、住房公积金；公用经费</w:t>
      </w:r>
      <w:r>
        <w:rPr>
          <w:rFonts w:hint="eastAsia" w:ascii="仿宋_GB2312" w:hAnsi="Times New Roman" w:eastAsia="仿宋_GB2312"/>
          <w:sz w:val="32"/>
          <w:szCs w:val="32"/>
          <w:lang w:val="en-US" w:eastAsia="zh-CN"/>
        </w:rPr>
        <w:t>5.78</w:t>
      </w:r>
      <w:r>
        <w:rPr>
          <w:rFonts w:hint="eastAsia" w:ascii="仿宋_GB2312" w:hAnsi="仿宋_GB2312" w:eastAsia="仿宋_GB2312" w:cs="仿宋_GB2312"/>
          <w:sz w:val="32"/>
          <w:szCs w:val="32"/>
          <w:lang w:val="en-US" w:eastAsia="zh-CN"/>
        </w:rPr>
        <w:t>万元，主要包括：办公费、印刷费、专用材料费。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我单位对2024年度0项目进行了部门评价，评价得分0分，评价等级为0，评价结果是：0。</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ascii="仿宋" w:hAnsi="仿宋" w:eastAsia="仿宋" w:cs="仿宋"/>
          <w:kern w:val="2"/>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2"/>
          <w:sz w:val="32"/>
          <w:szCs w:val="32"/>
          <w:lang w:val="en-US" w:eastAsia="zh-CN"/>
        </w:rPr>
        <w:t>财政部门未选取我单位2024年度预算项目开展财政重点评价。</w:t>
      </w:r>
    </w:p>
    <w:p>
      <w:pPr>
        <w:keepNext w:val="0"/>
        <w:keepLines w:val="0"/>
        <w:pageBreakBefore w:val="0"/>
        <w:numPr>
          <w:numId w:val="0"/>
        </w:numPr>
        <w:kinsoku/>
        <w:wordWrap w:val="0"/>
        <w:overflowPunct/>
        <w:topLinePunct w:val="0"/>
        <w:autoSpaceDE/>
        <w:autoSpaceDN/>
        <w:bidi w:val="0"/>
        <w:jc w:val="center"/>
        <w:outlineLvl w:val="0"/>
        <w:rPr>
          <w:rFonts w:hint="eastAsia" w:ascii="仿宋_GB2312" w:hAnsi="仿宋_GB2312" w:eastAsia="仿宋_GB2312" w:cs="仿宋_GB2312"/>
          <w:sz w:val="32"/>
          <w:szCs w:val="32"/>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numPr>
          <w:numId w:val="0"/>
        </w:numPr>
        <w:kinsoku/>
        <w:wordWrap w:val="0"/>
        <w:overflowPunct/>
        <w:topLinePunct w:val="0"/>
        <w:autoSpaceDE/>
        <w:autoSpaceDN/>
        <w:bidi w:val="0"/>
        <w:ind w:firstLine="640" w:firstLineChars="200"/>
        <w:jc w:val="both"/>
        <w:outlineLvl w:val="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A73994DA"/>
    <w:rsid w:val="FBCFEE3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Style w:val="2"/>
      <w:tblCellMar>
        <w:top w:w="0" w:type="dxa"/>
        <w:left w:w="108" w:type="dxa"/>
        <w:bottom w:w="0" w:type="dxa"/>
        <w:right w:w="108" w:type="dxa"/>
      </w:tblCellMar>
    </w:tblPr>
    <w:trPr>
      <w:wBefore w:w="0" w:type="dxa"/>
    </w:tr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rPr>
      <w:wBefore w:w="0" w:type="dxa"/>
    </w:tr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trPr>
      <w:wBefore w:w="0" w:type="dxa"/>
    </w:tr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rPr>
      <w:wBefore w:w="0" w:type="dxa"/>
    </w:tr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2</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2025-12-06T14:07:56Z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vt:lpwstr>
  </property>
  <property fmtid="{D5CDD505-2E9C-101B-9397-08002B2CF9AE}" pid="4" name="ICV">
    <vt:lpwstr>0A9627B4087F0BE234C73369509C35A0</vt:lpwstr>
  </property>
</Properties>
</file>