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郸城县乡村振兴局部门</w:t>
      </w:r>
      <w:bookmarkStart w:id="0" w:name="_GoBack"/>
      <w:bookmarkEnd w:id="0"/>
      <w:r>
        <w:rPr>
          <w:rFonts w:hint="eastAsia" w:ascii="黑体" w:hAnsi="黑体" w:eastAsia="黑体" w:cs="黑体"/>
          <w:sz w:val="52"/>
          <w:szCs w:val="52"/>
          <w:lang w:val="en-US" w:eastAsia="zh-CN"/>
        </w:rPr>
        <w:t>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郸城县乡村振兴局概况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郸城县乡村振兴局概况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组织拟订全县乡村振兴工作政策、规划、年度计划并会同有关部门监督检查执行情况；2.严格按照省定监测对象识别退出机制组织开展监测对象帮扶工作，负责全县已脱贫人口及监测对象帮扶；3.统筹协调行业扶贫工作，动员组织推动社会扶贫工作，联系协调党政机关、企事业单位、社会团体定点扶贫工作；4.参与全县财政专项乡村建设资金分配方案的制定，监督检查扶贫开发资金的使用，指导全县乡村建设内部审计工作，会同有关部门负责乡村建设项目目标任务完成情况的监督、考核、评估，指导乡镇、有关部门做好项目规划和项目库建设；5.指导产业扶贫工作，会同有关部门拟定扶贫开发产业相关政策，协同推进金融扶贫工作；6.协调指导全县革命老区乡村建设工作；7.协调组织指导农村贫困劳动力技能培训、扶贫干部教育培训工作，负责乡村建设宣传工作；8.负责组织全县脱贫攻坚督查巡查工作；9负责全县乡村建设系统信息化建设和统计工作；10.参与开展有关扶贫的对外交流与合作；11.完成县委、县政府交办的其他任务。</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郸城县乡村振兴局内设机构1个，包括： 郸城县乡村振兴服务中心</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从决算单位构成看，郸城县乡村振兴局单位决算无独立核算的下属单位。本级决算为单位决算。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单位：郸城县乡村振兴局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13,009.97</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11.28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1,890.37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13,009.97</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13,009.97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13,009.97</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13,009.97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4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24"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单位：郸城县乡村振兴局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24"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附属单位上缴收入</w:t>
            </w:r>
          </w:p>
        </w:tc>
        <w:tc>
          <w:tcPr>
            <w:tcW w:w="869"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869"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13,009.97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13,009.97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11.28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11.28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行政事业单位养老支出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11.22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11.22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机关事业单位基本养老保险缴费支出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11.22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11.22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卫生健康支出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0.56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0.56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其他行政事业单位医疗支出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12,989.35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12,989.35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巩固脱贫攻坚成果衔接乡村振兴</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12,989.35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12,989.35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245.71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245.71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57.01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57.01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2130504</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农村基础设施建设</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8,043.81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8,043.81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生产发展</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2,704.08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2,704.08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2130506</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社会发展</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986.35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986.35</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其他巩固脱贫攻坚成果衔接乡村振兴支出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952.39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952.39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住房保障支出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住房改革支出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住房公积金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49"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单位：郸城县乡村振兴局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13,009.97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266.33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12,743.64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11.28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11.28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行政事业单位养老支出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11.22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11.22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机关事业单位基本养老保险缴费支出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11.22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11.22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卫生健康支出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0.56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0.56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其他行政事业单位医疗支出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12,989.35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245.71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12,743.64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巩固脱贫攻坚成果衔接乡村振兴</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12,989.35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245.71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12,743.64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245.71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245.71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57.01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57.01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2130504</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农村基础设施建设</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8,043.81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8,043.81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生产发展</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2,704.08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2,704.08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2130506</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社会发展</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986.35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986.35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2130599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其他巩固脱贫攻坚成果衔接乡村振兴支出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952.39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952.39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住房保障支出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住房改革支出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住房公积金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单位：郸城县乡村振兴局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13,009.97</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12,989.35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12,989.35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13,009.97</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13,009.97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13,009.97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13,009.97</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13,009.97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13,009.97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单位：郸城县乡村振兴局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13,009.97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266.33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12,743.64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11.28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11.28</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行政事业单位养老支出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11.22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11.22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机关事业单位基本养老保险缴费支出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11.22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11.22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0.06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0.06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0.06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0.06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卫生健康支出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4.41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4.41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4.41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4.41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3.79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0.56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0.56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其他行政事业单位医疗支出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0.06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0.06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农林水支出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12,989.35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245.71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12,743.64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巩固脱贫攻坚成果衔接乡村振兴</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12,989.35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245.71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12,743.64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245.71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245.71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57.01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57.01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2130504</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农村基础设施建设</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8,043.81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8,043.81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生产发展</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2,704.08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2,704.08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2130506</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社会发展</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986.35</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986.35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2130599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其他巩固脱贫攻坚成果衔接乡村振兴支出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952.39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952.39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住房保障支出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4.94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4.94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住房改革支出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4.94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4.94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住房公积金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4.94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4.94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单位：郸城县乡村振兴局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73.55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192.78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36.46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139.42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7.89</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8.57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11.22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0.12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0.59</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19.73</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6.68</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73.55</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192.78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单位：郸城县乡村振兴局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单位：郸城县乡村振兴局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单位：郸城县乡村振兴局</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13009.97</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与上年度相比，收、支总计各增加13009.97万元，增长0.00%，主要原因是是人员调整，巩固衔接工作较脱贫攻坚期有所改变。。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13009.97</w:t>
      </w:r>
      <w:r>
        <w:rPr>
          <w:rFonts w:hint="eastAsia" w:ascii="仿宋_GB2312" w:hAnsi="仿宋_GB2312" w:eastAsia="仿宋_GB2312" w:cs="仿宋_GB2312"/>
          <w:sz w:val="32"/>
          <w:szCs w:val="32"/>
          <w:lang w:val="en-US" w:eastAsia="zh-CN"/>
        </w:rPr>
        <w:t>万元，其中：财政拨款收入13009.97万元，占100.00%。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13009.97</w:t>
      </w:r>
      <w:r>
        <w:rPr>
          <w:rFonts w:hint="eastAsia" w:ascii="仿宋_GB2312" w:hAnsi="仿宋_GB2312" w:eastAsia="仿宋_GB2312" w:cs="仿宋_GB2312"/>
          <w:sz w:val="32"/>
          <w:szCs w:val="32"/>
          <w:lang w:val="en-US" w:eastAsia="zh-CN"/>
        </w:rPr>
        <w:t>万元，其中：基本支出266.33万元，占2.05%;项目支出12743.64万元，占97.95%。</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13009.97</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与上年度相比，财政拨款收、支总计各增加13009.97万元，增长0.00%，主要原因是原因是人员调整，巩固衔接工作较脱贫攻坚期有所改变。。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2024年度一般公共预算财政拨款支出13009.97万元，占支出合计的100.00%。与上年度相比，一般公共预算财政拨款支出增加13009.97万元，增长0.00%，主要原因是是人员调整，巩固衔接工作较脱贫攻坚期有所改变。。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13009.97万元，主要用于以下方面：社会保障和就业（类）支出11.28万元，占0.09%;卫生健康（类）支出4.41万元，占0.03%;农林水（类）支出12989.35万元，占99.84%;住房保障（类）支出4.94万元，占0.04%。</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24887.51</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13009.97</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52.28</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266.33</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73.55</w:t>
      </w:r>
      <w:r>
        <w:rPr>
          <w:rFonts w:hint="eastAsia" w:ascii="仿宋_GB2312" w:hAnsi="仿宋_GB2312" w:eastAsia="仿宋_GB2312" w:cs="仿宋_GB2312"/>
          <w:sz w:val="32"/>
          <w:szCs w:val="32"/>
          <w:lang w:val="en-US" w:eastAsia="zh-CN"/>
        </w:rPr>
        <w:t>万元，主要包括：基本工资、津贴补贴、奖金、机关事业单位基本养老保险缴费、职工基本医疗保险缴费、其他社会保障缴费、住房公积金；公用经费</w:t>
      </w:r>
      <w:r>
        <w:rPr>
          <w:rFonts w:hint="eastAsia" w:ascii="仿宋_GB2312" w:hAnsi="Times New Roman" w:eastAsia="仿宋_GB2312"/>
          <w:sz w:val="32"/>
          <w:szCs w:val="32"/>
          <w:lang w:val="en-US" w:eastAsia="zh-CN"/>
        </w:rPr>
        <w:t>192.78</w:t>
      </w:r>
      <w:r>
        <w:rPr>
          <w:rFonts w:hint="eastAsia" w:ascii="仿宋_GB2312" w:hAnsi="仿宋_GB2312" w:eastAsia="仿宋_GB2312" w:cs="仿宋_GB2312"/>
          <w:sz w:val="32"/>
          <w:szCs w:val="32"/>
          <w:lang w:val="en-US" w:eastAsia="zh-CN"/>
        </w:rPr>
        <w:t>万元，主要包括：办公费、印刷费、电费、差旅费、专用材料费、委托业务费、其他交通费用。</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2024年度机关运行经费支出192.78万元，比2023年增加192.78万元，增长100.00%。主要原因是巩固拓展衔接关键年，工作任务较重。主要包括：办公费、印刷费、手续费、电费、邮电费、物业管理费、差旅费、专用材料费、其他交通费用、其他商品和服务支出、办公设备购置。。</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2496.56万元，其中：政府采购货物支出2319.67万元、政府采购工程支出0.00万元、政府采购服务支出176.89万元。授予中小企业合同金额2496.56万元，占政府采购支出总额的100.00%，其中：授予小微企业合同金额2496.56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35</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35</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1809.3</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35</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98.7</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35</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行业</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numPr>
          <w:ilvl w:val="0"/>
          <w:numId w:val="2"/>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 xml:space="preserve"> 名词解释</w:t>
      </w:r>
    </w:p>
    <w:p>
      <w:pPr>
        <w:keepNext w:val="0"/>
        <w:keepLines w:val="0"/>
        <w:pageBreakBefore w:val="0"/>
        <w:numPr>
          <w:numId w:val="0"/>
        </w:numPr>
        <w:kinsoku/>
        <w:wordWrap w:val="0"/>
        <w:overflowPunct/>
        <w:topLinePunct w:val="0"/>
        <w:autoSpaceDE/>
        <w:autoSpaceDN/>
        <w:bidi w:val="0"/>
        <w:ind w:firstLine="640" w:firstLineChars="200"/>
        <w:jc w:val="both"/>
        <w:outlineLvl w:val="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MathJax_Vector">
    <w:panose1 w:val="02000603000000000000"/>
    <w:charset w:val="00"/>
    <w:family w:val="auto"/>
    <w:pitch w:val="default"/>
    <w:sig w:usb0="00000001" w:usb1="0000002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DA297C"/>
    <w:multiLevelType w:val="singleLevel"/>
    <w:tmpl w:val="A6DA297C"/>
    <w:lvl w:ilvl="0" w:tentative="0">
      <w:start w:val="4"/>
      <w:numFmt w:val="chineseCounting"/>
      <w:suff w:val="space"/>
      <w:lvlText w:val="第%1部分"/>
      <w:lvlJc w:val="left"/>
      <w:rPr>
        <w:rFonts w:hint="eastAsia"/>
      </w:rPr>
    </w:lvl>
  </w:abstractNum>
  <w:abstractNum w:abstractNumId="1">
    <w:nsid w:val="00000001"/>
    <w:multiLevelType w:val="singleLevel"/>
    <w:tmpl w:val="00000001"/>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BFECA44"/>
    <w:rsid w:val="DE77A29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Style w:val="2"/>
      <w:tblCellMar>
        <w:top w:w="0" w:type="dxa"/>
        <w:left w:w="108" w:type="dxa"/>
        <w:bottom w:w="0" w:type="dxa"/>
        <w:right w:w="108" w:type="dxa"/>
      </w:tblCellMar>
    </w:tblPr>
    <w:trPr>
      <w:wBefore w:w="0" w:type="dxa"/>
    </w:tr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rPr>
      <w:wBefore w:w="0" w:type="dxa"/>
    </w:tr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trPr>
      <w:wBefore w:w="0" w:type="dxa"/>
    </w:tr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rPr>
      <w:wBefore w:w="0" w:type="dxa"/>
    </w:tr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2</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2025-12-06T14:08:03Z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vt:lpwstr>
  </property>
  <property fmtid="{D5CDD505-2E9C-101B-9397-08002B2CF9AE}" pid="4" name="ICV">
    <vt:lpwstr>12C2F39AE1B8E8EB9DC73369C1D23670</vt:lpwstr>
  </property>
</Properties>
</file>