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bookmarkStart w:id="0" w:name="_GoBack"/>
      <w:bookmarkEnd w:id="0"/>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郸城县公路管理局部门决算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郸城县公路管理局概况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部门职责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2024年度部门决算表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w:t>
      </w:r>
      <w:r>
        <w:rPr>
          <w:rFonts w:ascii="黑体" w:hAnsi="黑体" w:eastAsia="黑体" w:cs="黑体"/>
          <w:sz w:val="32"/>
          <w:szCs w:val="32"/>
          <w:lang w:val="en-US" w:eastAsia="zh-CN"/>
        </w:rPr>
        <w:t>部门</w:t>
      </w:r>
      <w:r>
        <w:rPr>
          <w:rFonts w:hint="eastAsia" w:ascii="黑体" w:hAnsi="黑体" w:eastAsia="黑体" w:cs="黑体"/>
          <w:sz w:val="32"/>
          <w:szCs w:val="32"/>
          <w:lang w:val="en-US" w:eastAsia="zh-CN"/>
        </w:rPr>
        <w:t>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郸城县公路管理局概况</w:t>
      </w: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一、部门职责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郸城县公路管理局贯彻落实上级关于认真贯彻执行党和国家关于公路建设、养护、管理工作的方针、政策、法令，参与制定我县公路工作政策、法规、实施意见、办法、措施。</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1、负责公路系统统计、交通量调查工作，公路行业统计预测和信息引导工作。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2、负责全县一般新建、改建、改善公路工程预算审批、日常施工管理工作。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3、受上级委托，参与或负责一般工程的招投标、工程质量监督、验收工作。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4、负责全省公路绿化和路政管理工作，维护路产、路权。</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郸城县公路管理局内设机构</w:t>
      </w:r>
      <w:r>
        <w:rPr>
          <w:rFonts w:hint="eastAsia" w:ascii="仿宋_GB2312" w:hAnsi="宋体" w:eastAsia="仿宋_GB2312" w:cs="Courier New"/>
          <w:kern w:val="0"/>
          <w:sz w:val="32"/>
          <w:szCs w:val="32"/>
          <w:lang w:val="en-US" w:eastAsia="zh-CN"/>
        </w:rPr>
        <w:t>郸城县公路管理局内设机构14</w:t>
      </w:r>
      <w:r>
        <w:rPr>
          <w:rFonts w:hint="eastAsia" w:ascii="仿宋" w:hAnsi="仿宋" w:eastAsia="仿宋" w:cs="仿宋"/>
          <w:kern w:val="0"/>
          <w:sz w:val="32"/>
          <w:szCs w:val="32"/>
          <w:lang w:val="en-US" w:eastAsia="zh-CN"/>
        </w:rPr>
        <w:t>个,包括：</w:t>
      </w:r>
      <w:r>
        <w:rPr>
          <w:rFonts w:hint="eastAsia" w:ascii="仿宋_GB2312" w:hAnsi="宋体" w:eastAsia="仿宋_GB2312" w:cs="Courier New"/>
          <w:kern w:val="0"/>
          <w:sz w:val="32"/>
          <w:szCs w:val="32"/>
          <w:lang w:val="en-US" w:eastAsia="zh-CN"/>
        </w:rPr>
        <w:t>办公室、人事股、财务股、审计股、养护股、材料设备股、统计股、工程股、法制安全股、路产路权管理大队等部门。</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从决算单位构成看，郸城县公路管理局部门决算包括：本级决算、所属单位决算。</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本决算为汇总决算，纳入本部门2024年度部门决算编制范围的单位共1个（1本级和0个所属单位），具体包含：郸城县公路管理局</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ascii="仿宋" w:hAnsi="仿宋" w:eastAsia="仿宋" w:cs="仿宋"/>
          <w:kern w:val="0"/>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2024年度部门决算表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部门：郸城县公路管理局</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642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收入</w:t>
            </w:r>
          </w:p>
        </w:tc>
        <w:tc>
          <w:tcPr>
            <w:tcW w:w="6404"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5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48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5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26,743.67</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一、一般公共服务支出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二、政府性基金预算财政拨款收入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二、外交支出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三、国有资本经营预算财政拨款收入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三、国防支出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四、上级补助收入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四、公共安全支出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五、事业收入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五、教育支出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六、经营收入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六、科学技术支出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七、附属单位上缴收入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7</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七、文化旅游体育与传媒支出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八、其他收入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8</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八、社会保障和就业支出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9</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九、卫生健康支出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10</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十、节能环保支出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11</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十一、城乡社区支出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12</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十二、农林水支出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13</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十三、交通运输支出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26,743.67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14</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十四、资源勘探工业信息等支出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15</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十五、商业服务业等支出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16</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十六、金融支出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17</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十七、援助其他地区支出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18</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十八、自然资源海洋气象等支出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19</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十九、住房保障支出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20</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二十、粮油物资储备支出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21</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二十一、国有资本经营预算支出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22</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二十二、灾害防治及应急管理支出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23</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二十三、其他支出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二十四、债务还本支出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二十五、债务付息支出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二十六、抗疫特别国债安排的支出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本年收入合计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27</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26,743.67</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本年支出合计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26,743.67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使用非财政拨款结余（含专用结余）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28</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结余分配</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年初结转和结余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29</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年末结转和结余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30</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26,743.67</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26,743.67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12824" w:type="dxa"/>
            <w:gridSpan w:val="6"/>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部门：郸城县公路管理局</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项目</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本年收入合计</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财政拨款收入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上级补助收入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事业收入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经营收入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附属单位上缴收入</w:t>
            </w:r>
          </w:p>
        </w:tc>
        <w:tc>
          <w:tcPr>
            <w:tcW w:w="84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其他收入</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科目编码</w:t>
            </w:r>
          </w:p>
        </w:tc>
        <w:tc>
          <w:tcPr>
            <w:tcW w:w="24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科目名称</w:t>
            </w: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栏次</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w:t>
            </w:r>
          </w:p>
        </w:tc>
        <w:tc>
          <w:tcPr>
            <w:tcW w:w="84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合计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26,743.67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26,743.67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214</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交通运输支出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26,743.67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26,743.67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21401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公路水路运输</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26,743.67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26,743.67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2140104</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公路建设</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25,417.40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25,417.40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2140106</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公路养护</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1,326.27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1,326.27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9026"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部门：郸城县公路管理局</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本年支出合计</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基本支出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上缴上级支出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经营支出</w:t>
            </w:r>
          </w:p>
        </w:tc>
        <w:tc>
          <w:tcPr>
            <w:tcW w:w="84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对附属单位补助支出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科目编码</w:t>
            </w:r>
          </w:p>
        </w:tc>
        <w:tc>
          <w:tcPr>
            <w:tcW w:w="28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84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26,743.67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923.07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25,820.60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214</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交通运输支出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26,743.67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923.07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25,820.60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21401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公路水路运输</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26,743.67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923.07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25,820.60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2140104</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公路建设</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25,417.40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25,417.40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2140106</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公路养护</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1,326.27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923.07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403.20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9026" w:type="dxa"/>
            <w:gridSpan w:val="8"/>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部门：郸城县公路管理局</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44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收     入</w:t>
            </w:r>
          </w:p>
        </w:tc>
        <w:tc>
          <w:tcPr>
            <w:tcW w:w="8384"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支     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19" w:hRule="exact"/>
          <w:jc w:val="center"/>
        </w:trPr>
        <w:tc>
          <w:tcPr>
            <w:tcW w:w="26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金额</w:t>
            </w:r>
          </w:p>
        </w:tc>
        <w:tc>
          <w:tcPr>
            <w:tcW w:w="26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一般公共预算财政拨款</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政府性基金预算财政拨款</w:t>
            </w:r>
          </w:p>
        </w:tc>
        <w:tc>
          <w:tcPr>
            <w:tcW w:w="1344"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国有资本经营预算财政拨款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65" w:hRule="exact"/>
          <w:jc w:val="center"/>
        </w:trPr>
        <w:tc>
          <w:tcPr>
            <w:tcW w:w="26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4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26,743.67</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一、一般公共服务支出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二、政府性基金预算财政拨款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二、外交支出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三、国有资本经营预算财政拨款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三、国防支出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四、公共安全支出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五、教育支出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六、科学技术支出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七、文化旅游体育与传媒支出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八、社会保障和就业支出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九、卫生健康支出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十、节能环保支出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十一、城乡社区支出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十二、农林水支出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十三、交通运输支出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26,743.67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26,743.67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十四、资源勘探工业信息等支出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十五、商业服务业等支出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十六、金融支出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十七、援助其他地区支出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十八、自然资源海洋气象等支出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十九、住房保障支出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二十、粮油物资储备支出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二十一、国有资本经营预算支出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二十二、灾害防治及应急管理支出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二十三、其他支出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二十四、债务还本支出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二十五、债务付息支出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二十六、抗疫特别国债安排的支出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本年收入合计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26,743.67</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本年支出合计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26,743.67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26,743.67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年初财政拨款结转和结余</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年末财政拨款结转和结余</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一般公共预算财政拨款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政府性基金预算财政拨款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国有资本经营预算财政拨款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26,743.67</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26,743.67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26,743.67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12824"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部门：郸城县公路管理局</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w:t>
            </w:r>
          </w:p>
        </w:tc>
        <w:tc>
          <w:tcPr>
            <w:tcW w:w="4306"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科目编码</w:t>
            </w:r>
          </w:p>
        </w:tc>
        <w:tc>
          <w:tcPr>
            <w:tcW w:w="37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科目名称</w:t>
            </w:r>
          </w:p>
        </w:tc>
        <w:tc>
          <w:tcPr>
            <w:tcW w:w="14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小计</w:t>
            </w:r>
          </w:p>
        </w:tc>
        <w:tc>
          <w:tcPr>
            <w:tcW w:w="14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基本支出</w:t>
            </w:r>
          </w:p>
        </w:tc>
        <w:tc>
          <w:tcPr>
            <w:tcW w:w="142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8" w:hRule="exact"/>
          <w:jc w:val="center"/>
        </w:trPr>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栏次</w:t>
            </w:r>
          </w:p>
        </w:tc>
        <w:tc>
          <w:tcPr>
            <w:tcW w:w="14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w:t>
            </w:r>
          </w:p>
        </w:tc>
        <w:tc>
          <w:tcPr>
            <w:tcW w:w="14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w:t>
            </w:r>
          </w:p>
        </w:tc>
        <w:tc>
          <w:tcPr>
            <w:tcW w:w="142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合计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26,743.67</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923.07</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25,820.60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城乡社区支出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21203</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城乡社区公共设施</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2120303</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小城镇基础设施建设</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214</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交通运输支出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26,743.67</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923.07</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25,820.60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21401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公路水路运输</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26,743.67</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923.07</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25,820.60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2140101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行政运行</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2140104</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公路建设</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25,417.40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25,417.40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2140106</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公路养护</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1,326.27</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923.07</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403.20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026" w:type="dxa"/>
            <w:gridSpan w:val="5"/>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部门：郸城县公路管理局</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41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w:t>
            </w:r>
          </w:p>
        </w:tc>
        <w:tc>
          <w:tcPr>
            <w:tcW w:w="8684"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7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4"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工资福利支出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923.07</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商品和服务支出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债务利息及费用支出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基本工资</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923.07</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国内债务付息</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津贴补贴</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印刷费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国外债务付息</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咨询费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资本性支出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伙食补助费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手续费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房屋建筑物购建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绩效工资</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办公设备购置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机关事业单位基本养老保险缴费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电费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31003</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专用设备购置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职业年金缴费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邮电费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31005</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基础设施建设</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职工基本医疗保险缴费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取暖费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31006</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大型修缮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公务员医疗补助缴费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物业管理费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信息网络及软件购置更新</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其他社会保障缴费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差旅费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31008</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物资储备</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住房公积金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因公出国（境）费用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土地补偿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维修（护）费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安置补助</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其他工资福利支出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租赁费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地上附着物和青苗补偿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对个人和家庭的补助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会议费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拆迁补偿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离休费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培训费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31013</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退休费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公务接待费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其他交通工具购置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退职（役）费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专用材料费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文物和陈列品购置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抚恤金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被装购置费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无形资产购置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生活补助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专用燃料费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其他资本性支出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救济费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劳务费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委托业务费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国家赔偿费用支出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助学金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工会经费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39908</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对民间非营利组织和群众性自治组织补贴</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奖励金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福利费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经常性赠与</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个人农业生产补贴</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公务用车运行维护费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资本性赠与</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代缴社会保险费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其他对个人和家庭的补助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30240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税金及附加费用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其他商品和服务支出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31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人员经费合计</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923.07</w:t>
            </w:r>
          </w:p>
        </w:tc>
        <w:tc>
          <w:tcPr>
            <w:tcW w:w="7720" w:type="dxa"/>
            <w:gridSpan w:val="5"/>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公用经费合计</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12824"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部门：郸城县公路管理局</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年初结转和结余</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本年收入</w:t>
            </w:r>
          </w:p>
        </w:tc>
        <w:tc>
          <w:tcPr>
            <w:tcW w:w="41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本年支出</w:t>
            </w:r>
          </w:p>
        </w:tc>
        <w:tc>
          <w:tcPr>
            <w:tcW w:w="135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年末结转和结余</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6" w:hRule="exact"/>
          <w:jc w:val="center"/>
        </w:trPr>
        <w:tc>
          <w:tcPr>
            <w:tcW w:w="13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科目编码</w:t>
            </w:r>
          </w:p>
        </w:tc>
        <w:tc>
          <w:tcPr>
            <w:tcW w:w="4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科目名称</w:t>
            </w: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小计</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基本支出</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项目支出</w:t>
            </w: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6" w:hRule="exact"/>
          <w:jc w:val="center"/>
        </w:trPr>
        <w:tc>
          <w:tcPr>
            <w:tcW w:w="13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6" w:hRule="exact"/>
          <w:jc w:val="center"/>
        </w:trPr>
        <w:tc>
          <w:tcPr>
            <w:tcW w:w="13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栏次</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1</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4</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5</w:t>
            </w:r>
          </w:p>
        </w:tc>
        <w:tc>
          <w:tcPr>
            <w:tcW w:w="135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合计</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6" w:hRule="exact"/>
          <w:jc w:val="center"/>
        </w:trPr>
        <w:tc>
          <w:tcPr>
            <w:tcW w:w="132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229</w:t>
            </w:r>
          </w:p>
        </w:tc>
        <w:tc>
          <w:tcPr>
            <w:tcW w:w="4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其他支出</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6" w:hRule="exact"/>
          <w:jc w:val="center"/>
        </w:trPr>
        <w:tc>
          <w:tcPr>
            <w:tcW w:w="132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22904</w:t>
            </w:r>
          </w:p>
        </w:tc>
        <w:tc>
          <w:tcPr>
            <w:tcW w:w="4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其他政府性基金及对应专项债务收入安排的支出</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6" w:hRule="exact"/>
          <w:jc w:val="center"/>
        </w:trPr>
        <w:tc>
          <w:tcPr>
            <w:tcW w:w="132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2290402</w:t>
            </w:r>
          </w:p>
        </w:tc>
        <w:tc>
          <w:tcPr>
            <w:tcW w:w="4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其他地方自行试点项目收益专项债券收入安排的支出</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6" w:hRule="exact"/>
          <w:jc w:val="center"/>
        </w:trPr>
        <w:tc>
          <w:tcPr>
            <w:tcW w:w="13958" w:type="dxa"/>
            <w:gridSpan w:val="8"/>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说明：我部门没有政府性基金收入，也没有使用政府性基金安排的支出，故本表无数据。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部门：郸城县公路管理局</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w:t>
            </w:r>
          </w:p>
        </w:tc>
        <w:tc>
          <w:tcPr>
            <w:tcW w:w="6518"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9" w:hRule="exact"/>
          <w:jc w:val="center"/>
        </w:trPr>
        <w:tc>
          <w:tcPr>
            <w:tcW w:w="18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科目代码</w:t>
            </w:r>
          </w:p>
        </w:tc>
        <w:tc>
          <w:tcPr>
            <w:tcW w:w="55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科目名称</w:t>
            </w:r>
          </w:p>
        </w:tc>
        <w:tc>
          <w:tcPr>
            <w:tcW w:w="21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基本支出</w:t>
            </w:r>
          </w:p>
        </w:tc>
        <w:tc>
          <w:tcPr>
            <w:tcW w:w="215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9" w:hRule="exact"/>
          <w:jc w:val="center"/>
        </w:trPr>
        <w:tc>
          <w:tcPr>
            <w:tcW w:w="18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9" w:hRule="exact"/>
          <w:jc w:val="center"/>
        </w:trPr>
        <w:tc>
          <w:tcPr>
            <w:tcW w:w="18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栏次</w:t>
            </w:r>
          </w:p>
        </w:tc>
        <w:tc>
          <w:tcPr>
            <w:tcW w:w="21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1</w:t>
            </w:r>
          </w:p>
        </w:tc>
        <w:tc>
          <w:tcPr>
            <w:tcW w:w="21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2</w:t>
            </w:r>
          </w:p>
        </w:tc>
        <w:tc>
          <w:tcPr>
            <w:tcW w:w="215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8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58"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9" w:hRule="exact"/>
          <w:jc w:val="center"/>
        </w:trPr>
        <w:tc>
          <w:tcPr>
            <w:tcW w:w="18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9" w:hRule="exact"/>
          <w:jc w:val="center"/>
        </w:trPr>
        <w:tc>
          <w:tcPr>
            <w:tcW w:w="13958" w:type="dxa"/>
            <w:gridSpan w:val="5"/>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说明：我部门没有使用国有资本经营预算安排的支出，故本表无数据。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部门：郸城县公路管理局</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1" w:hRule="exact"/>
          <w:jc w:val="center"/>
        </w:trPr>
        <w:tc>
          <w:tcPr>
            <w:tcW w:w="6960"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预算数</w:t>
            </w:r>
          </w:p>
        </w:tc>
        <w:tc>
          <w:tcPr>
            <w:tcW w:w="6998"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1" w:hRule="exact"/>
          <w:jc w:val="center"/>
        </w:trPr>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9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742" w:hRule="exact"/>
          <w:jc w:val="center"/>
        </w:trPr>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9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1" w:hRule="exact"/>
          <w:jc w:val="center"/>
        </w:trPr>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2</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3</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4</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5</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6</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7</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8</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9</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10</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11</w:t>
            </w:r>
          </w:p>
        </w:tc>
        <w:tc>
          <w:tcPr>
            <w:tcW w:w="119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1" w:hRule="exact"/>
          <w:jc w:val="center"/>
        </w:trPr>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98"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r>
    </w:tbl>
    <w:p>
      <w:pPr>
        <w:keepNext w:val="0"/>
        <w:keepLines w:val="0"/>
        <w:pageBreakBefore w:val="0"/>
        <w:widowControl w:val="0"/>
        <w:kinsoku/>
        <w:wordWrap w:val="0"/>
        <w:overflowPunct/>
        <w:topLinePunct w:val="0"/>
        <w:autoSpaceDE/>
        <w:autoSpaceDN/>
        <w:bidi w:val="0"/>
        <w:adjustRightInd/>
        <w:snapToGrid/>
        <w:ind w:left="63" w:leftChars="30"/>
        <w:jc w:val="both"/>
        <w:textAlignment w:val="auto"/>
        <w:rPr>
          <w:rFonts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说明：我部门没有“三公”经费预算，也没有“三公”经费支出，故本表无数据。</w:t>
      </w:r>
      <w:r>
        <w:rPr>
          <w:rFonts w:hint="eastAsia" w:ascii="宋体" w:hAnsi="宋体" w:eastAsia="宋体" w:cs="宋体"/>
          <w:color w:val="000000"/>
          <w:kern w:val="0"/>
          <w:sz w:val="19"/>
          <w:szCs w:val="19"/>
          <w:lang w:val="en-US" w:eastAsia="zh-CN"/>
        </w:rPr>
        <w:t xml:space="preserve"> </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2024年度部门决算情况说明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26743.67</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与上年度相比，收、支总计各增加5749.55万元，增长27.39%，主要原因是本年度项目业务活动开展较多，项目经费支出增长。</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26743.67</w:t>
      </w:r>
      <w:r>
        <w:rPr>
          <w:rFonts w:hint="eastAsia" w:ascii="仿宋_GB2312" w:hAnsi="仿宋_GB2312" w:eastAsia="仿宋_GB2312" w:cs="仿宋_GB2312"/>
          <w:sz w:val="32"/>
          <w:szCs w:val="32"/>
          <w:lang w:val="en-US" w:eastAsia="zh-CN"/>
        </w:rPr>
        <w:t>万元，其中：财政拨款收入26743.67万元，占100.00%。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26743.67</w:t>
      </w:r>
      <w:r>
        <w:rPr>
          <w:rFonts w:hint="eastAsia" w:ascii="仿宋_GB2312" w:hAnsi="仿宋_GB2312" w:eastAsia="仿宋_GB2312" w:cs="仿宋_GB2312"/>
          <w:sz w:val="32"/>
          <w:szCs w:val="32"/>
          <w:lang w:val="en-US" w:eastAsia="zh-CN"/>
        </w:rPr>
        <w:t>万元，其中：基本支出923.07万元，占3.45%;项目支出25820.60万元，占96.55%。</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26743.67</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与上年度相比，财政拨款收、支总计各增加5749.55万元，增长27.39%，主要原因是本年度项目业务活动开展较多，项目经费支出增长。</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2024年度一般公共预算财政拨款支出26743.67万元，占支出合计的100.00%。与上年度相比，一般公共预算财政拨款支出增加7322.55万元，增长37.70%，主要原因是本年度项目业务活动开展较多，项目经费支出增长。</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年度一般公共预算财政拨款支出26743.67万元，主要用于以下方面：交通运输（类）支出26743.67万元，占100.00%。</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926.00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26743.67</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2888.09</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城乡社区支出（类）城乡社区公共设施（款）小城镇基础设施建设（项）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交通运输支出（类）公路水路运输（款）行政运行（项）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交通运输支出（类）公路水路运输（款）公路建设（项）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25417.40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交通运输支出（类）公路水路运输（款）公路养护（项）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98.54</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1326.27</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，完成年初预算的1345.92%</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本年度项目业务活动开展较多，项目经费支出增长。</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923.07</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923.07</w:t>
      </w:r>
      <w:r>
        <w:rPr>
          <w:rFonts w:hint="eastAsia" w:ascii="仿宋_GB2312" w:hAnsi="仿宋_GB2312" w:eastAsia="仿宋_GB2312" w:cs="仿宋_GB2312"/>
          <w:sz w:val="32"/>
          <w:szCs w:val="32"/>
          <w:lang w:val="en-US" w:eastAsia="zh-CN"/>
        </w:rPr>
        <w:t>万元，主要包括：基本工资；公用经费</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万元，主要包括：办公费。</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我部门2024年没有使用政府性基金预算财政拨款安排的支出。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我部门2024年没有使用国有资本经营预算财政拨款安排的支出。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0.00万元。2024年期末，部门开支财政拨款的公务用车保有量为0辆。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我部门不是行政机关，也不是参照公务员法管理的事业部门，没有机关运行经费支出。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260.00万元，其中：政府采购货物支出260.00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部门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2024年我部门高度重视绩效管理工作。强化绩效目标管理，对</w:t>
      </w:r>
      <w:r>
        <w:rPr>
          <w:rFonts w:hint="eastAsia" w:ascii="仿宋_GB2312" w:hAnsi="仿宋_GB2312" w:eastAsia="仿宋_GB2312" w:cs="仿宋_GB2312"/>
          <w:sz w:val="32"/>
          <w:szCs w:val="32"/>
          <w:highlight w:val="none"/>
          <w:lang w:val="en-US" w:eastAsia="zh-CN"/>
        </w:rPr>
        <w:t>28</w:t>
      </w:r>
      <w:r>
        <w:rPr>
          <w:rFonts w:hint="eastAsia" w:ascii="仿宋" w:hAnsi="仿宋" w:eastAsia="仿宋" w:cs="仿宋"/>
          <w:kern w:val="2"/>
          <w:sz w:val="32"/>
          <w:szCs w:val="32"/>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28</w:t>
      </w:r>
      <w:r>
        <w:rPr>
          <w:rFonts w:hint="eastAsia" w:ascii="仿宋" w:hAnsi="仿宋" w:eastAsia="仿宋" w:cs="仿宋"/>
          <w:kern w:val="2"/>
          <w:sz w:val="32"/>
          <w:szCs w:val="32"/>
          <w:lang w:val="en-US" w:eastAsia="zh-CN"/>
        </w:rPr>
        <w:t>个项目开展了绩效自评，涉及项目资金</w:t>
      </w:r>
      <w:r>
        <w:rPr>
          <w:rFonts w:hint="eastAsia" w:ascii="仿宋_GB2312" w:hAnsi="仿宋_GB2312" w:eastAsia="仿宋_GB2312" w:cs="仿宋_GB2312"/>
          <w:sz w:val="32"/>
          <w:szCs w:val="32"/>
          <w:highlight w:val="none"/>
          <w:lang w:val="en-US" w:eastAsia="zh-CN"/>
        </w:rPr>
        <w:t xml:space="preserve">25433.85 </w:t>
      </w:r>
      <w:r>
        <w:rPr>
          <w:rFonts w:hint="eastAsia" w:ascii="仿宋" w:hAnsi="仿宋" w:eastAsia="仿宋" w:cs="仿宋"/>
          <w:kern w:val="2"/>
          <w:sz w:val="32"/>
          <w:szCs w:val="32"/>
          <w:lang w:val="en-US" w:eastAsia="zh-CN"/>
        </w:rPr>
        <w:t>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r>
        <w:rPr>
          <w:rFonts w:hint="eastAsia" w:ascii="仿宋" w:hAnsi="仿宋" w:eastAsia="仿宋" w:cs="仿宋"/>
          <w:kern w:val="2"/>
          <w:sz w:val="32"/>
          <w:szCs w:val="32"/>
          <w:lang w:val="en-US" w:eastAsia="zh-CN"/>
        </w:rPr>
        <w:t>我部门对2024年度</w:t>
      </w:r>
      <w:r>
        <w:rPr>
          <w:rFonts w:hint="eastAsia" w:ascii="仿宋_GB2312" w:hAnsi="仿宋_GB2312" w:eastAsia="仿宋_GB2312" w:cs="仿宋_GB2312"/>
          <w:sz w:val="32"/>
          <w:szCs w:val="32"/>
          <w:highlight w:val="none"/>
          <w:lang w:val="en-US" w:eastAsia="zh-CN"/>
        </w:rPr>
        <w:t>28</w:t>
      </w:r>
      <w:r>
        <w:rPr>
          <w:rFonts w:hint="eastAsia" w:ascii="仿宋" w:hAnsi="仿宋" w:eastAsia="仿宋" w:cs="仿宋"/>
          <w:kern w:val="2"/>
          <w:sz w:val="32"/>
          <w:szCs w:val="32"/>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96.99</w:t>
      </w:r>
      <w:r>
        <w:rPr>
          <w:rFonts w:hint="eastAsia" w:ascii="仿宋" w:hAnsi="仿宋" w:eastAsia="仿宋" w:cs="仿宋"/>
          <w:kern w:val="2"/>
          <w:sz w:val="32"/>
          <w:szCs w:val="32"/>
          <w:lang w:val="en-US" w:eastAsia="zh-CN"/>
        </w:rPr>
        <w:t>分。其中：自评结果</w:t>
      </w:r>
      <w:r>
        <w:rPr>
          <w:rFonts w:hint="eastAsia" w:ascii="仿宋_GB2312" w:hAnsi="仿宋_GB2312" w:eastAsia="仿宋_GB2312" w:cs="仿宋_GB2312"/>
          <w:sz w:val="32"/>
          <w:szCs w:val="32"/>
          <w:highlight w:val="none"/>
          <w:lang w:val="en-US" w:eastAsia="zh-CN"/>
        </w:rPr>
        <w:t>28</w:t>
      </w:r>
      <w:r>
        <w:rPr>
          <w:rFonts w:hint="eastAsia" w:ascii="仿宋" w:hAnsi="仿宋" w:eastAsia="仿宋" w:cs="仿宋"/>
          <w:kern w:val="2"/>
          <w:sz w:val="32"/>
          <w:szCs w:val="32"/>
          <w:lang w:val="en-US" w:eastAsia="zh-CN"/>
        </w:rPr>
        <w:t>个为优，</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个为良，</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个为中，</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个为差。从自评情况看，项目支出绩效管理的重视程度进一步提升，项目总体执行和完成情况较好，资金使用比较规范。</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我部门对</w:t>
      </w:r>
      <w:r>
        <w:rPr>
          <w:rFonts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4年度部门整体支出进行绩效自评，得分为</w:t>
      </w:r>
      <w:r>
        <w:rPr>
          <w:rFonts w:hint="eastAsia" w:ascii="仿宋_GB2312" w:hAnsi="仿宋_GB2312" w:eastAsia="仿宋_GB2312" w:cs="仿宋_GB2312"/>
          <w:sz w:val="32"/>
          <w:szCs w:val="32"/>
          <w:highlight w:val="none"/>
          <w:lang w:val="en-US" w:eastAsia="zh-CN"/>
        </w:rPr>
        <w:t>97.09</w:t>
      </w:r>
      <w:r>
        <w:rPr>
          <w:rFonts w:hint="eastAsia" w:ascii="仿宋" w:hAnsi="仿宋" w:eastAsia="仿宋" w:cs="仿宋"/>
          <w:kern w:val="2"/>
          <w:sz w:val="32"/>
          <w:szCs w:val="32"/>
          <w:lang w:val="en-US" w:eastAsia="zh-CN"/>
        </w:rPr>
        <w:t>分。从自评情况看，各项工作总体完成情况较好，部门履职效能进一步提升。</w:t>
      </w: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我部门对2024年度6项目进行了部门评价，评价得分100分，评价等级为优秀 ，评价结果是：优秀。</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_GB2312" w:hAnsi="Times New Roman" w:eastAsia="仿宋_GB2312" w:cs="Times New Roman"/>
          <w:sz w:val="32"/>
          <w:szCs w:val="32"/>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仿宋" w:hAnsi="仿宋" w:eastAsia="仿宋" w:cs="仿宋"/>
          <w:kern w:val="2"/>
          <w:sz w:val="32"/>
          <w:szCs w:val="32"/>
          <w:lang w:val="en-US" w:eastAsia="zh-CN"/>
        </w:rPr>
        <w:t>财政部门未选取我部门2024年度预算项目开展财政重点评价。</w:t>
      </w:r>
    </w:p>
    <w:p>
      <w:pPr>
        <w:keepNext w:val="0"/>
        <w:keepLines w:val="0"/>
        <w:pageBreakBefore w:val="0"/>
        <w:widowControl/>
        <w:kinsoku/>
        <w:wordWrap w:val="0"/>
        <w:overflowPunct/>
        <w:topLinePunct w:val="0"/>
        <w:autoSpaceDE/>
        <w:autoSpaceDN/>
        <w:bidi w:val="0"/>
        <w:spacing w:line="590" w:lineRule="exact"/>
        <w:jc w:val="both"/>
        <w:rPr>
          <w:rFonts w:hint="eastAsia" w:ascii="仿宋_GB2312" w:hAnsi="Times New Roman" w:eastAsia="仿宋_GB2312" w:cs="Times New Roman"/>
          <w:sz w:val="32"/>
          <w:szCs w:val="32"/>
          <w:lang w:val="en-US" w:eastAsia="zh-CN"/>
        </w:rPr>
      </w:pPr>
    </w:p>
    <w:p>
      <w:pPr>
        <w:keepNext w:val="0"/>
        <w:keepLines w:val="0"/>
        <w:pageBreakBefore w:val="0"/>
        <w:numPr>
          <w:ilvl w:val="0"/>
          <w:numId w:val="0"/>
        </w:numPr>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第四部分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modern"/>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modern"/>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singleLevel"/>
    <w:tmpl w:val="00000001"/>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evenAndOddHeaders w:val="1"/>
  <w:drawingGridHorizontalSpacing w:val="105"/>
  <w:drawingGridVerticalSpacing w:val="156"/>
  <w:displayHorizontalDrawingGridEvery w:val="0"/>
  <w:displayVerticalDrawingGridEvery w:val="2"/>
  <w:characterSpacingControl w:val="compressPunctuation"/>
  <w:noLineBreaksAfter w:lang="zh-CN" w:val="([{·‘“〈《「『【〔〖（．［｛￡￥"/>
  <w:noLineBreaksBefore w:lang="zh-CN" w:val="!),.:;?]}¨·ˇˉ―‖’”…∶、。〃々〉》」』】〕〗！＂＇），．：；？］｀｜｝～￠"/>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8914D97"/>
    <w:rsid w:val="5D40172C"/>
    <w:rsid w:val="6FAFF5E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qFormat/>
    <w:uiPriority w:val="1"/>
  </w:style>
  <w:style w:type="table" w:default="1" w:styleId="2">
    <w:name w:val="Normal Table"/>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5">
    <w:name w:val="Hyperlink"/>
    <w:unhideWhenUsed/>
    <w:qFormat/>
    <w:uiPriority w:val="99"/>
    <w:rPr>
      <w:color w:val="0000FF"/>
      <w:u w:val="single"/>
    </w:rPr>
  </w:style>
  <w:style w:type="table" w:customStyle="1" w:styleId="6">
    <w:name w:val="普通表格1"/>
    <w:unhideWhenUsed/>
    <w:qFormat/>
    <w:uiPriority w:val="99"/>
    <w:tblPr>
      <w:tblCellMar>
        <w:top w:w="0" w:type="dxa"/>
        <w:left w:w="108" w:type="dxa"/>
        <w:bottom w:w="0" w:type="dxa"/>
        <w:right w:w="108" w:type="dxa"/>
      </w:tblCellMar>
    </w:tblPr>
  </w:style>
  <w:style w:type="paragraph" w:customStyle="1" w:styleId="7">
    <w:name w:val="批注框文本1"/>
    <w:basedOn w:val="1"/>
    <w:link w:val="8"/>
    <w:unhideWhenUsed/>
    <w:qFormat/>
    <w:uiPriority w:val="99"/>
    <w:pPr>
      <w:jc w:val="both"/>
    </w:pPr>
    <w:rPr>
      <w:sz w:val="18"/>
      <w:szCs w:val="18"/>
      <w:lang w:val="en-US" w:eastAsia="zh-CN"/>
    </w:rPr>
  </w:style>
  <w:style w:type="character" w:customStyle="1" w:styleId="8">
    <w:name w:val="批注框文本 Char"/>
    <w:link w:val="7"/>
    <w:semiHidden/>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uiPriority w:val="99"/>
    <w:rPr>
      <w:kern w:val="2"/>
      <w:sz w:val="18"/>
      <w:szCs w:val="18"/>
    </w:rPr>
  </w:style>
  <w:style w:type="paragraph" w:customStyle="1" w:styleId="11">
    <w:name w:val="页眉1"/>
    <w:basedOn w:val="1"/>
    <w:link w:val="12"/>
    <w:unhideWhenUsed/>
    <w:qFormat/>
    <w:uiPriority w:val="99"/>
    <w:pPr>
      <w:pBdr>
        <w:bottom w:val="single" w:color="000000"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uiPriority w:val="59"/>
    <w:pPr>
      <w:widowControl w:val="0"/>
      <w:jc w:val="both"/>
    </w:p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5">
    <w:name w:val="已访问的超链接1"/>
    <w:unhideWhenUsed/>
    <w:qFormat/>
    <w:uiPriority w:val="99"/>
    <w:rPr>
      <w:color w:val="800080"/>
      <w:u w:val="single"/>
    </w:rPr>
  </w:style>
  <w:style w:type="character" w:customStyle="1" w:styleId="16">
    <w:name w:val="font01"/>
    <w:qFormat/>
    <w:uiPriority w:val="0"/>
    <w:rPr>
      <w:rFonts w:hint="eastAsia" w:ascii="宋体" w:hAnsi="宋体" w:eastAsia="宋体" w:cs="宋体"/>
      <w:color w:val="000000"/>
      <w:sz w:val="22"/>
      <w:szCs w:val="22"/>
      <w:u w:val="none"/>
    </w:rPr>
  </w:style>
  <w:style w:type="character" w:customStyle="1" w:styleId="17">
    <w:name w:val="font21"/>
    <w:qFormat/>
    <w:uiPriority w:val="0"/>
    <w:rPr>
      <w:rFonts w:hint="eastAsia" w:ascii="宋体" w:hAnsi="宋体" w:eastAsia="宋体" w:cs="宋体"/>
      <w:color w:val="000000"/>
      <w:sz w:val="22"/>
      <w:szCs w:val="22"/>
      <w:u w:val="none"/>
    </w:rPr>
  </w:style>
  <w:style w:type="character" w:customStyle="1" w:styleId="18">
    <w:name w:val="font51"/>
    <w:qFormat/>
    <w:uiPriority w:val="0"/>
    <w:rPr>
      <w:rFonts w:hint="eastAsia" w:ascii="宋体" w:hAnsi="宋体" w:eastAsia="宋体" w:cs="宋体"/>
      <w:color w:val="000000"/>
      <w:sz w:val="24"/>
      <w:szCs w:val="24"/>
      <w:u w:val="none"/>
    </w:rPr>
  </w:style>
  <w:style w:type="character" w:customStyle="1" w:styleId="19">
    <w:name w:val="font11"/>
    <w:qFormat/>
    <w:uiPriority w:val="0"/>
    <w:rPr>
      <w:rFonts w:hint="eastAsia" w:ascii="宋体" w:hAnsi="宋体" w:eastAsia="宋体" w:cs="宋体"/>
      <w:color w:val="000000"/>
      <w:sz w:val="20"/>
      <w:szCs w:val="20"/>
      <w:u w:val="none"/>
    </w:rPr>
  </w:style>
  <w:style w:type="character" w:customStyle="1" w:styleId="20">
    <w:name w:val="font41"/>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26</Pages>
  <Words>2223</Words>
  <Characters>3062</Characters>
  <Lines>1</Lines>
  <Paragraphs>1</Paragraphs>
  <TotalTime>3</TotalTime>
  <ScaleCrop>false</ScaleCrop>
  <LinksUpToDate>false</LinksUpToDate>
  <CharactersWithSpaces>3270</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2025-12-05T17:42:20Z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eyJoZGlkIjoiNWJhYzQ0YzZiZTlhYTg3NDY0ZGI1ZDgzYjFkODZkNGMiLCJ1c2VySWQiOiI1MjE4ODgxOTkifQ==</vt:lpwstr>
  </property>
  <property fmtid="{D5CDD505-2E9C-101B-9397-08002B2CF9AE}" pid="4" name="ICV">
    <vt:lpwstr>AE57FB0D95624510B66DDBC5EE65848F</vt:lpwstr>
  </property>
</Properties>
</file>