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郸城县道路运输管理局单位决算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郸城县道路运输管理局概况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郸城县道路运输管理局概况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（一）负责国家、省、市有关公路运输方针、政策、法规的贯彻实施；</w:t>
      </w:r>
    </w:p>
    <w:p>
      <w:pPr>
        <w:keepNext w:val="0"/>
        <w:keepLines w:val="0"/>
        <w:pageBreakBefore w:val="0"/>
        <w:widowControl/>
        <w:shd w:val="clear" w:color="auto" w:fill="auto"/>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（二）做好旅客、货物流量、流向的调查研究和预测，制订本地区待业发展规划；</w:t>
      </w:r>
    </w:p>
    <w:p>
      <w:pPr>
        <w:keepNext w:val="0"/>
        <w:keepLines w:val="0"/>
        <w:pageBreakBefore w:val="0"/>
        <w:widowControl/>
        <w:shd w:val="clear" w:color="auto" w:fill="auto"/>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三）负责道路旅客运输经营、货物运输经营（含非营业危险化学品道路运输）和道路站（场）经营、机动车维修经营、机动车驾驶员培训、机动车综合性能检测、汽车租赁相关业务的行政许可，以及道路运输辅助业务的备案管理；</w:t>
      </w:r>
    </w:p>
    <w:p>
      <w:pPr>
        <w:keepNext w:val="0"/>
        <w:keepLines w:val="0"/>
        <w:pageBreakBefore w:val="0"/>
        <w:widowControl/>
        <w:shd w:val="clear" w:color="auto" w:fill="auto"/>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（四）负责本地区道路运输管理费征收工作；</w:t>
      </w:r>
    </w:p>
    <w:p>
      <w:pPr>
        <w:keepNext w:val="0"/>
        <w:keepLines w:val="0"/>
        <w:pageBreakBefore w:val="0"/>
        <w:widowControl/>
        <w:shd w:val="clear" w:color="auto" w:fill="auto"/>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（五）负责指导全市各区运管所的行业管理工作；</w:t>
      </w:r>
    </w:p>
    <w:p>
      <w:pPr>
        <w:keepNext w:val="0"/>
        <w:keepLines w:val="0"/>
        <w:pageBreakBefore w:val="0"/>
        <w:widowControl/>
        <w:shd w:val="clear" w:color="auto" w:fill="auto"/>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（六）负责本地区道路运输站场建设管理工作；</w:t>
      </w:r>
    </w:p>
    <w:p>
      <w:pPr>
        <w:keepNext w:val="0"/>
        <w:keepLines w:val="0"/>
        <w:pageBreakBefore w:val="0"/>
        <w:widowControl/>
        <w:shd w:val="clear" w:color="auto" w:fill="auto"/>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（七）负责全市道路运输行业精神文明创建工作；</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both"/>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郸城县道路运输管理局为河南省郸城县交通运输局二级预算单位。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从决算单位构成看，郸城县道路运输管理局单位决算无独立核算的下属单位。本级决算为单位决算。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单位：郸城县道路运输管理局</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sz w:val="18"/>
                <w:szCs w:val="18"/>
              </w:rPr>
            </w:pPr>
            <w:r>
              <w:rPr>
                <w:rFonts w:ascii="宋体" w:hAnsi="宋体" w:eastAsia="宋体" w:cs="宋体"/>
                <w:b w:val="0"/>
                <w:i w:val="0"/>
                <w:color w:val="000000"/>
                <w:sz w:val="18"/>
                <w:szCs w:val="18"/>
              </w:rPr>
              <w:t>收入</w:t>
            </w:r>
          </w:p>
        </w:tc>
        <w:tc>
          <w:tcPr>
            <w:tcW w:w="6404" w:type="dxa"/>
            <w:gridSpan w:val="3"/>
            <w:vAlign w:val="center"/>
          </w:tcPr>
          <w:p>
            <w:pPr>
              <w:snapToGrid w:val="0"/>
              <w:jc w:val="center"/>
              <w:rPr>
                <w:sz w:val="18"/>
                <w:szCs w:val="18"/>
              </w:rPr>
            </w:pPr>
            <w:r>
              <w:rPr>
                <w:rFonts w:ascii="宋体" w:hAnsi="宋体" w:eastAsia="宋体" w:cs="宋体"/>
                <w:b w:val="0"/>
                <w:i w:val="0"/>
                <w:color w:val="000000"/>
                <w:sz w:val="18"/>
                <w:szCs w:val="18"/>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金额</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四、上级补助收入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五、事业收入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六、经营收入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七、附属单位上缴收入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八、其他收入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3,507.38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3340"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3,507.38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使用非财政拨款结余（含专用结余）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结余分配</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年初结转和结余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年末结转和结余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3,507.38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rPr>
                <w:sz w:val="18"/>
                <w:szCs w:val="18"/>
              </w:rPr>
            </w:pPr>
            <w:r>
              <w:rPr>
                <w:rFonts w:ascii="宋体" w:hAnsi="宋体" w:eastAsia="宋体" w:cs="宋体"/>
                <w:sz w:val="18"/>
                <w:szCs w:val="18"/>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rPr>
                <w:sz w:val="18"/>
                <w:szCs w:val="18"/>
              </w:rPr>
            </w:pPr>
            <w:r>
              <w:rPr>
                <w:rFonts w:ascii="宋体" w:hAnsi="宋体" w:eastAsia="宋体" w:cs="宋体"/>
                <w:sz w:val="18"/>
                <w:szCs w:val="18"/>
              </w:rPr>
              <w:t>单位：郸城县道路运输管理局</w:t>
            </w:r>
          </w:p>
        </w:tc>
        <w:tc>
          <w:tcPr>
            <w:tcW w:w="2000" w:type="dxa"/>
          </w:tcPr>
          <w:p>
            <w:pPr>
              <w:jc w:val="center"/>
              <w:rPr>
                <w:sz w:val="18"/>
                <w:szCs w:val="18"/>
              </w:rPr>
            </w:pPr>
            <w:r>
              <w:rPr>
                <w:rFonts w:ascii="宋体" w:hAnsi="宋体" w:eastAsia="宋体" w:cs="宋体"/>
                <w:sz w:val="18"/>
                <w:szCs w:val="18"/>
              </w:rPr>
              <w:t>2024年度</w:t>
            </w:r>
          </w:p>
        </w:tc>
        <w:tc>
          <w:tcPr>
            <w:tcW w:w="3524"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49"/>
        <w:gridCol w:w="2311"/>
        <w:gridCol w:w="898"/>
        <w:gridCol w:w="882"/>
        <w:gridCol w:w="827"/>
        <w:gridCol w:w="818"/>
        <w:gridCol w:w="675"/>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898"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本年收入合计</w:t>
            </w:r>
          </w:p>
        </w:tc>
        <w:tc>
          <w:tcPr>
            <w:tcW w:w="882" w:type="dxa"/>
            <w:vMerge w:val="restart"/>
            <w:vAlign w:val="center"/>
          </w:tcPr>
          <w:p>
            <w:pPr>
              <w:snapToGrid w:val="0"/>
              <w:jc w:val="center"/>
              <w:rPr>
                <w:sz w:val="18"/>
                <w:szCs w:val="18"/>
              </w:rPr>
            </w:pPr>
            <w:r>
              <w:rPr>
                <w:rFonts w:ascii="宋体" w:hAnsi="宋体" w:eastAsia="宋体" w:cs="宋体"/>
                <w:b w:val="0"/>
                <w:i w:val="0"/>
                <w:color w:val="000000"/>
                <w:sz w:val="18"/>
                <w:szCs w:val="18"/>
              </w:rPr>
              <w:t>财政拨款收入</w:t>
            </w:r>
          </w:p>
        </w:tc>
        <w:tc>
          <w:tcPr>
            <w:tcW w:w="827" w:type="dxa"/>
            <w:vMerge w:val="restart"/>
            <w:vAlign w:val="center"/>
          </w:tcPr>
          <w:p>
            <w:pPr>
              <w:snapToGrid w:val="0"/>
              <w:jc w:val="center"/>
              <w:rPr>
                <w:sz w:val="18"/>
                <w:szCs w:val="18"/>
              </w:rPr>
            </w:pPr>
            <w:r>
              <w:rPr>
                <w:rFonts w:ascii="宋体" w:hAnsi="宋体" w:eastAsia="宋体" w:cs="宋体"/>
                <w:b w:val="0"/>
                <w:i w:val="0"/>
                <w:color w:val="000000"/>
                <w:sz w:val="18"/>
                <w:szCs w:val="18"/>
              </w:rPr>
              <w:t>上级补助收入</w:t>
            </w:r>
          </w:p>
        </w:tc>
        <w:tc>
          <w:tcPr>
            <w:tcW w:w="818" w:type="dxa"/>
            <w:vMerge w:val="restart"/>
            <w:vAlign w:val="center"/>
          </w:tcPr>
          <w:p>
            <w:pPr>
              <w:snapToGrid w:val="0"/>
              <w:jc w:val="center"/>
              <w:rPr>
                <w:sz w:val="18"/>
                <w:szCs w:val="18"/>
              </w:rPr>
            </w:pPr>
            <w:r>
              <w:rPr>
                <w:rFonts w:ascii="宋体" w:hAnsi="宋体" w:eastAsia="宋体" w:cs="宋体"/>
                <w:b w:val="0"/>
                <w:i w:val="0"/>
                <w:color w:val="000000"/>
                <w:sz w:val="18"/>
                <w:szCs w:val="18"/>
              </w:rPr>
              <w:t>事业收入</w:t>
            </w:r>
          </w:p>
        </w:tc>
        <w:tc>
          <w:tcPr>
            <w:tcW w:w="675" w:type="dxa"/>
            <w:vMerge w:val="restart"/>
            <w:vAlign w:val="center"/>
          </w:tcPr>
          <w:p>
            <w:pPr>
              <w:snapToGrid w:val="0"/>
              <w:jc w:val="center"/>
              <w:rPr>
                <w:sz w:val="18"/>
                <w:szCs w:val="18"/>
              </w:rPr>
            </w:pPr>
            <w:r>
              <w:rPr>
                <w:rFonts w:ascii="宋体" w:hAnsi="宋体" w:eastAsia="宋体" w:cs="宋体"/>
                <w:b w:val="0"/>
                <w:i w:val="0"/>
                <w:color w:val="000000"/>
                <w:sz w:val="18"/>
                <w:szCs w:val="18"/>
              </w:rPr>
              <w:t>经营收入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附属单位上缴收入</w:t>
            </w:r>
          </w:p>
        </w:tc>
        <w:tc>
          <w:tcPr>
            <w:tcW w:w="869" w:type="dxa"/>
            <w:vMerge w:val="restart"/>
            <w:vAlign w:val="center"/>
          </w:tcPr>
          <w:p>
            <w:pPr>
              <w:snapToGrid w:val="0"/>
              <w:jc w:val="center"/>
              <w:rPr>
                <w:sz w:val="18"/>
                <w:szCs w:val="18"/>
              </w:rPr>
            </w:pPr>
            <w:r>
              <w:rPr>
                <w:rFonts w:ascii="宋体" w:hAnsi="宋体" w:eastAsia="宋体" w:cs="宋体"/>
                <w:b w:val="0"/>
                <w:i w:val="0"/>
                <w:color w:val="000000"/>
                <w:sz w:val="18"/>
                <w:szCs w:val="18"/>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9"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311"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898" w:type="dxa"/>
            <w:vMerge w:val="continue"/>
            <w:vAlign w:val="center"/>
          </w:tcPr>
          <w:p>
            <w:pPr>
              <w:rPr>
                <w:sz w:val="18"/>
                <w:szCs w:val="18"/>
              </w:rPr>
            </w:pPr>
          </w:p>
        </w:tc>
        <w:tc>
          <w:tcPr>
            <w:tcW w:w="882" w:type="dxa"/>
            <w:vMerge w:val="continue"/>
            <w:vAlign w:val="center"/>
          </w:tcPr>
          <w:p>
            <w:pPr>
              <w:rPr>
                <w:sz w:val="18"/>
                <w:szCs w:val="18"/>
              </w:rPr>
            </w:pPr>
          </w:p>
        </w:tc>
        <w:tc>
          <w:tcPr>
            <w:tcW w:w="827" w:type="dxa"/>
            <w:vMerge w:val="continue"/>
            <w:vAlign w:val="center"/>
          </w:tcPr>
          <w:p>
            <w:pPr>
              <w:rPr>
                <w:sz w:val="18"/>
                <w:szCs w:val="18"/>
              </w:rPr>
            </w:pPr>
          </w:p>
        </w:tc>
        <w:tc>
          <w:tcPr>
            <w:tcW w:w="818" w:type="dxa"/>
            <w:vMerge w:val="continue"/>
            <w:vAlign w:val="center"/>
          </w:tcPr>
          <w:p>
            <w:pPr>
              <w:rPr>
                <w:sz w:val="18"/>
                <w:szCs w:val="18"/>
              </w:rPr>
            </w:pPr>
          </w:p>
        </w:tc>
        <w:tc>
          <w:tcPr>
            <w:tcW w:w="675"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9" w:type="dxa"/>
            <w:vMerge w:val="continue"/>
            <w:vAlign w:val="center"/>
          </w:tcPr>
          <w:p>
            <w:pPr>
              <w:rPr>
                <w:sz w:val="18"/>
                <w:szCs w:val="18"/>
              </w:rPr>
            </w:pPr>
          </w:p>
        </w:tc>
        <w:tc>
          <w:tcPr>
            <w:tcW w:w="2311" w:type="dxa"/>
            <w:vMerge w:val="continue"/>
            <w:vAlign w:val="center"/>
          </w:tcPr>
          <w:p>
            <w:pPr>
              <w:rPr>
                <w:sz w:val="18"/>
                <w:szCs w:val="18"/>
              </w:rPr>
            </w:pPr>
          </w:p>
        </w:tc>
        <w:tc>
          <w:tcPr>
            <w:tcW w:w="898" w:type="dxa"/>
            <w:vMerge w:val="continue"/>
            <w:vAlign w:val="center"/>
          </w:tcPr>
          <w:p>
            <w:pPr>
              <w:rPr>
                <w:sz w:val="18"/>
                <w:szCs w:val="18"/>
              </w:rPr>
            </w:pPr>
          </w:p>
        </w:tc>
        <w:tc>
          <w:tcPr>
            <w:tcW w:w="882" w:type="dxa"/>
            <w:vMerge w:val="continue"/>
            <w:vAlign w:val="center"/>
          </w:tcPr>
          <w:p>
            <w:pPr>
              <w:rPr>
                <w:sz w:val="18"/>
                <w:szCs w:val="18"/>
              </w:rPr>
            </w:pPr>
          </w:p>
        </w:tc>
        <w:tc>
          <w:tcPr>
            <w:tcW w:w="827" w:type="dxa"/>
            <w:vMerge w:val="continue"/>
            <w:vAlign w:val="center"/>
          </w:tcPr>
          <w:p>
            <w:pPr>
              <w:rPr>
                <w:sz w:val="18"/>
                <w:szCs w:val="18"/>
              </w:rPr>
            </w:pPr>
          </w:p>
        </w:tc>
        <w:tc>
          <w:tcPr>
            <w:tcW w:w="818" w:type="dxa"/>
            <w:vMerge w:val="continue"/>
            <w:vAlign w:val="center"/>
          </w:tcPr>
          <w:p>
            <w:pPr>
              <w:rPr>
                <w:sz w:val="18"/>
                <w:szCs w:val="18"/>
              </w:rPr>
            </w:pPr>
          </w:p>
        </w:tc>
        <w:tc>
          <w:tcPr>
            <w:tcW w:w="675"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9" w:type="dxa"/>
            <w:vMerge w:val="continue"/>
            <w:vAlign w:val="center"/>
          </w:tcPr>
          <w:p>
            <w:pPr>
              <w:rPr>
                <w:sz w:val="18"/>
                <w:szCs w:val="18"/>
              </w:rPr>
            </w:pPr>
          </w:p>
        </w:tc>
        <w:tc>
          <w:tcPr>
            <w:tcW w:w="2311" w:type="dxa"/>
            <w:vMerge w:val="continue"/>
            <w:vAlign w:val="center"/>
          </w:tcPr>
          <w:p>
            <w:pPr>
              <w:rPr>
                <w:sz w:val="18"/>
                <w:szCs w:val="18"/>
              </w:rPr>
            </w:pPr>
          </w:p>
        </w:tc>
        <w:tc>
          <w:tcPr>
            <w:tcW w:w="898" w:type="dxa"/>
            <w:vMerge w:val="continue"/>
            <w:vAlign w:val="center"/>
          </w:tcPr>
          <w:p>
            <w:pPr>
              <w:rPr>
                <w:sz w:val="18"/>
                <w:szCs w:val="18"/>
              </w:rPr>
            </w:pPr>
          </w:p>
        </w:tc>
        <w:tc>
          <w:tcPr>
            <w:tcW w:w="882" w:type="dxa"/>
            <w:vMerge w:val="continue"/>
            <w:vAlign w:val="center"/>
          </w:tcPr>
          <w:p>
            <w:pPr>
              <w:rPr>
                <w:sz w:val="18"/>
                <w:szCs w:val="18"/>
              </w:rPr>
            </w:pPr>
          </w:p>
        </w:tc>
        <w:tc>
          <w:tcPr>
            <w:tcW w:w="827" w:type="dxa"/>
            <w:vMerge w:val="continue"/>
            <w:vAlign w:val="center"/>
          </w:tcPr>
          <w:p>
            <w:pPr>
              <w:rPr>
                <w:sz w:val="18"/>
                <w:szCs w:val="18"/>
              </w:rPr>
            </w:pPr>
          </w:p>
        </w:tc>
        <w:tc>
          <w:tcPr>
            <w:tcW w:w="818" w:type="dxa"/>
            <w:vMerge w:val="continue"/>
            <w:vAlign w:val="center"/>
          </w:tcPr>
          <w:p>
            <w:pPr>
              <w:rPr>
                <w:sz w:val="18"/>
                <w:szCs w:val="18"/>
              </w:rPr>
            </w:pPr>
          </w:p>
        </w:tc>
        <w:tc>
          <w:tcPr>
            <w:tcW w:w="675"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898"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882"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827"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818"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675"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869" w:type="dxa"/>
            <w:vAlign w:val="center"/>
          </w:tcPr>
          <w:p>
            <w:pPr>
              <w:snapToGrid w:val="0"/>
              <w:jc w:val="center"/>
              <w:rPr>
                <w:sz w:val="18"/>
                <w:szCs w:val="18"/>
              </w:rPr>
            </w:pPr>
            <w:r>
              <w:rPr>
                <w:rFonts w:ascii="宋体" w:hAnsi="宋体" w:eastAsia="宋体" w:cs="宋体"/>
                <w:b w:val="0"/>
                <w:i w:val="0"/>
                <w:color w:val="000000"/>
                <w:sz w:val="18"/>
                <w:szCs w:val="18"/>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898"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882"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82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9" w:type="dxa"/>
            <w:vAlign w:val="center"/>
          </w:tcPr>
          <w:p>
            <w:pPr>
              <w:snapToGrid w:val="0"/>
              <w:jc w:val="left"/>
              <w:rPr>
                <w:sz w:val="18"/>
                <w:szCs w:val="18"/>
              </w:rPr>
            </w:pPr>
            <w:r>
              <w:rPr>
                <w:rFonts w:ascii="宋体" w:hAnsi="宋体" w:eastAsia="宋体" w:cs="宋体"/>
                <w:b w:val="0"/>
                <w:i w:val="0"/>
                <w:color w:val="000000"/>
                <w:sz w:val="18"/>
                <w:szCs w:val="18"/>
              </w:rPr>
              <w:t>214</w:t>
            </w:r>
          </w:p>
        </w:tc>
        <w:tc>
          <w:tcPr>
            <w:tcW w:w="2311" w:type="dxa"/>
            <w:vAlign w:val="center"/>
          </w:tcPr>
          <w:p>
            <w:pPr>
              <w:snapToGrid w:val="0"/>
              <w:jc w:val="left"/>
              <w:rPr>
                <w:sz w:val="18"/>
                <w:szCs w:val="18"/>
              </w:rPr>
            </w:pPr>
            <w:r>
              <w:rPr>
                <w:rFonts w:ascii="宋体" w:hAnsi="宋体" w:eastAsia="宋体" w:cs="宋体"/>
                <w:b w:val="0"/>
                <w:i w:val="0"/>
                <w:color w:val="000000"/>
                <w:sz w:val="18"/>
                <w:szCs w:val="18"/>
              </w:rPr>
              <w:t>交通运输支出</w:t>
            </w:r>
          </w:p>
        </w:tc>
        <w:tc>
          <w:tcPr>
            <w:tcW w:w="898"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882"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82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9" w:type="dxa"/>
            <w:vAlign w:val="center"/>
          </w:tcPr>
          <w:p>
            <w:pPr>
              <w:snapToGrid w:val="0"/>
              <w:jc w:val="left"/>
              <w:rPr>
                <w:sz w:val="18"/>
                <w:szCs w:val="18"/>
              </w:rPr>
            </w:pPr>
            <w:r>
              <w:rPr>
                <w:rFonts w:ascii="宋体" w:hAnsi="宋体" w:eastAsia="宋体" w:cs="宋体"/>
                <w:b w:val="0"/>
                <w:i w:val="0"/>
                <w:color w:val="000000"/>
                <w:sz w:val="18"/>
                <w:szCs w:val="18"/>
              </w:rPr>
              <w:t>21401</w:t>
            </w:r>
          </w:p>
        </w:tc>
        <w:tc>
          <w:tcPr>
            <w:tcW w:w="2311" w:type="dxa"/>
            <w:vAlign w:val="center"/>
          </w:tcPr>
          <w:p>
            <w:pPr>
              <w:snapToGrid w:val="0"/>
              <w:jc w:val="left"/>
              <w:rPr>
                <w:sz w:val="18"/>
                <w:szCs w:val="18"/>
              </w:rPr>
            </w:pPr>
            <w:r>
              <w:rPr>
                <w:rFonts w:ascii="宋体" w:hAnsi="宋体" w:eastAsia="宋体" w:cs="宋体"/>
                <w:b w:val="0"/>
                <w:i w:val="0"/>
                <w:color w:val="000000"/>
                <w:sz w:val="18"/>
                <w:szCs w:val="18"/>
              </w:rPr>
              <w:t>公路水路运输</w:t>
            </w:r>
          </w:p>
        </w:tc>
        <w:tc>
          <w:tcPr>
            <w:tcW w:w="898" w:type="dxa"/>
            <w:vAlign w:val="center"/>
          </w:tcPr>
          <w:p>
            <w:pPr>
              <w:snapToGrid w:val="0"/>
              <w:jc w:val="right"/>
              <w:rPr>
                <w:sz w:val="18"/>
                <w:szCs w:val="18"/>
              </w:rPr>
            </w:pPr>
            <w:r>
              <w:rPr>
                <w:rFonts w:ascii="宋体" w:hAnsi="宋体" w:eastAsia="宋体" w:cs="宋体"/>
                <w:b w:val="0"/>
                <w:i w:val="0"/>
                <w:color w:val="000000"/>
                <w:sz w:val="18"/>
                <w:szCs w:val="18"/>
              </w:rPr>
              <w:t>834.95</w:t>
            </w:r>
          </w:p>
        </w:tc>
        <w:tc>
          <w:tcPr>
            <w:tcW w:w="882" w:type="dxa"/>
            <w:vAlign w:val="center"/>
          </w:tcPr>
          <w:p>
            <w:pPr>
              <w:snapToGrid w:val="0"/>
              <w:jc w:val="right"/>
              <w:rPr>
                <w:sz w:val="18"/>
                <w:szCs w:val="18"/>
              </w:rPr>
            </w:pPr>
            <w:r>
              <w:rPr>
                <w:rFonts w:ascii="宋体" w:hAnsi="宋体" w:eastAsia="宋体" w:cs="宋体"/>
                <w:b w:val="0"/>
                <w:i w:val="0"/>
                <w:color w:val="000000"/>
                <w:sz w:val="18"/>
                <w:szCs w:val="18"/>
              </w:rPr>
              <w:t>834.95</w:t>
            </w:r>
          </w:p>
        </w:tc>
        <w:tc>
          <w:tcPr>
            <w:tcW w:w="82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9" w:type="dxa"/>
            <w:vAlign w:val="center"/>
          </w:tcPr>
          <w:p>
            <w:pPr>
              <w:snapToGrid w:val="0"/>
              <w:jc w:val="left"/>
              <w:rPr>
                <w:sz w:val="18"/>
                <w:szCs w:val="18"/>
              </w:rPr>
            </w:pPr>
            <w:r>
              <w:rPr>
                <w:rFonts w:ascii="宋体" w:hAnsi="宋体" w:eastAsia="宋体" w:cs="宋体"/>
                <w:b w:val="0"/>
                <w:i w:val="0"/>
                <w:color w:val="000000"/>
                <w:sz w:val="18"/>
                <w:szCs w:val="18"/>
              </w:rPr>
              <w:t>2140104</w:t>
            </w:r>
          </w:p>
        </w:tc>
        <w:tc>
          <w:tcPr>
            <w:tcW w:w="2311" w:type="dxa"/>
            <w:vAlign w:val="center"/>
          </w:tcPr>
          <w:p>
            <w:pPr>
              <w:snapToGrid w:val="0"/>
              <w:jc w:val="left"/>
              <w:rPr>
                <w:sz w:val="18"/>
                <w:szCs w:val="18"/>
              </w:rPr>
            </w:pPr>
            <w:r>
              <w:rPr>
                <w:rFonts w:ascii="宋体" w:hAnsi="宋体" w:eastAsia="宋体" w:cs="宋体"/>
                <w:b w:val="0"/>
                <w:i w:val="0"/>
                <w:color w:val="000000"/>
                <w:sz w:val="18"/>
                <w:szCs w:val="18"/>
              </w:rPr>
              <w:t>公路建设</w:t>
            </w:r>
          </w:p>
        </w:tc>
        <w:tc>
          <w:tcPr>
            <w:tcW w:w="898" w:type="dxa"/>
            <w:vAlign w:val="center"/>
          </w:tcPr>
          <w:p>
            <w:pPr>
              <w:snapToGrid w:val="0"/>
              <w:jc w:val="right"/>
              <w:rPr>
                <w:sz w:val="18"/>
                <w:szCs w:val="18"/>
              </w:rPr>
            </w:pPr>
            <w:r>
              <w:rPr>
                <w:rFonts w:ascii="宋体" w:hAnsi="宋体" w:eastAsia="宋体" w:cs="宋体"/>
                <w:b w:val="0"/>
                <w:i w:val="0"/>
                <w:color w:val="000000"/>
                <w:sz w:val="18"/>
                <w:szCs w:val="18"/>
              </w:rPr>
              <w:t>90.00</w:t>
            </w:r>
          </w:p>
        </w:tc>
        <w:tc>
          <w:tcPr>
            <w:tcW w:w="882" w:type="dxa"/>
            <w:vAlign w:val="center"/>
          </w:tcPr>
          <w:p>
            <w:pPr>
              <w:snapToGrid w:val="0"/>
              <w:jc w:val="right"/>
              <w:rPr>
                <w:sz w:val="18"/>
                <w:szCs w:val="18"/>
              </w:rPr>
            </w:pPr>
            <w:r>
              <w:rPr>
                <w:rFonts w:ascii="宋体" w:hAnsi="宋体" w:eastAsia="宋体" w:cs="宋体"/>
                <w:b w:val="0"/>
                <w:i w:val="0"/>
                <w:color w:val="000000"/>
                <w:sz w:val="18"/>
                <w:szCs w:val="18"/>
              </w:rPr>
              <w:t>90.00</w:t>
            </w:r>
          </w:p>
        </w:tc>
        <w:tc>
          <w:tcPr>
            <w:tcW w:w="82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9" w:type="dxa"/>
            <w:vAlign w:val="center"/>
          </w:tcPr>
          <w:p>
            <w:pPr>
              <w:snapToGrid w:val="0"/>
              <w:jc w:val="left"/>
              <w:rPr>
                <w:sz w:val="18"/>
                <w:szCs w:val="18"/>
              </w:rPr>
            </w:pPr>
            <w:r>
              <w:rPr>
                <w:rFonts w:ascii="宋体" w:hAnsi="宋体" w:eastAsia="宋体" w:cs="宋体"/>
                <w:b w:val="0"/>
                <w:i w:val="0"/>
                <w:color w:val="000000"/>
                <w:sz w:val="18"/>
                <w:szCs w:val="18"/>
              </w:rPr>
              <w:t>2140112</w:t>
            </w:r>
          </w:p>
        </w:tc>
        <w:tc>
          <w:tcPr>
            <w:tcW w:w="2311" w:type="dxa"/>
            <w:vAlign w:val="center"/>
          </w:tcPr>
          <w:p>
            <w:pPr>
              <w:snapToGrid w:val="0"/>
              <w:jc w:val="left"/>
              <w:rPr>
                <w:sz w:val="18"/>
                <w:szCs w:val="18"/>
              </w:rPr>
            </w:pPr>
            <w:r>
              <w:rPr>
                <w:rFonts w:ascii="宋体" w:hAnsi="宋体" w:eastAsia="宋体" w:cs="宋体"/>
                <w:b w:val="0"/>
                <w:i w:val="0"/>
                <w:color w:val="000000"/>
                <w:sz w:val="18"/>
                <w:szCs w:val="18"/>
              </w:rPr>
              <w:t>公路运输管理</w:t>
            </w:r>
          </w:p>
        </w:tc>
        <w:tc>
          <w:tcPr>
            <w:tcW w:w="898" w:type="dxa"/>
            <w:vAlign w:val="center"/>
          </w:tcPr>
          <w:p>
            <w:pPr>
              <w:snapToGrid w:val="0"/>
              <w:jc w:val="right"/>
              <w:rPr>
                <w:sz w:val="18"/>
                <w:szCs w:val="18"/>
              </w:rPr>
            </w:pPr>
            <w:r>
              <w:rPr>
                <w:rFonts w:ascii="宋体" w:hAnsi="宋体" w:eastAsia="宋体" w:cs="宋体"/>
                <w:b w:val="0"/>
                <w:i w:val="0"/>
                <w:color w:val="000000"/>
                <w:sz w:val="18"/>
                <w:szCs w:val="18"/>
              </w:rPr>
              <w:t>744.95</w:t>
            </w:r>
          </w:p>
        </w:tc>
        <w:tc>
          <w:tcPr>
            <w:tcW w:w="882" w:type="dxa"/>
            <w:vAlign w:val="center"/>
          </w:tcPr>
          <w:p>
            <w:pPr>
              <w:snapToGrid w:val="0"/>
              <w:jc w:val="right"/>
              <w:rPr>
                <w:sz w:val="18"/>
                <w:szCs w:val="18"/>
              </w:rPr>
            </w:pPr>
            <w:r>
              <w:rPr>
                <w:rFonts w:ascii="宋体" w:hAnsi="宋体" w:eastAsia="宋体" w:cs="宋体"/>
                <w:b w:val="0"/>
                <w:i w:val="0"/>
                <w:color w:val="000000"/>
                <w:sz w:val="18"/>
                <w:szCs w:val="18"/>
              </w:rPr>
              <w:t>744.95</w:t>
            </w:r>
          </w:p>
        </w:tc>
        <w:tc>
          <w:tcPr>
            <w:tcW w:w="82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9" w:type="dxa"/>
            <w:vAlign w:val="center"/>
          </w:tcPr>
          <w:p>
            <w:pPr>
              <w:snapToGrid w:val="0"/>
              <w:jc w:val="left"/>
              <w:rPr>
                <w:sz w:val="18"/>
                <w:szCs w:val="18"/>
              </w:rPr>
            </w:pPr>
            <w:r>
              <w:rPr>
                <w:rFonts w:ascii="宋体" w:hAnsi="宋体" w:eastAsia="宋体" w:cs="宋体"/>
                <w:b w:val="0"/>
                <w:i w:val="0"/>
                <w:color w:val="000000"/>
                <w:sz w:val="18"/>
                <w:szCs w:val="18"/>
              </w:rPr>
              <w:t>21499</w:t>
            </w:r>
          </w:p>
        </w:tc>
        <w:tc>
          <w:tcPr>
            <w:tcW w:w="2311" w:type="dxa"/>
            <w:vAlign w:val="center"/>
          </w:tcPr>
          <w:p>
            <w:pPr>
              <w:snapToGrid w:val="0"/>
              <w:jc w:val="left"/>
              <w:rPr>
                <w:sz w:val="18"/>
                <w:szCs w:val="18"/>
              </w:rPr>
            </w:pPr>
            <w:r>
              <w:rPr>
                <w:rFonts w:ascii="宋体" w:hAnsi="宋体" w:eastAsia="宋体" w:cs="宋体"/>
                <w:b w:val="0"/>
                <w:i w:val="0"/>
                <w:color w:val="000000"/>
                <w:sz w:val="18"/>
                <w:szCs w:val="18"/>
              </w:rPr>
              <w:t>其他交通运输支出</w:t>
            </w:r>
          </w:p>
        </w:tc>
        <w:tc>
          <w:tcPr>
            <w:tcW w:w="898" w:type="dxa"/>
            <w:vAlign w:val="center"/>
          </w:tcPr>
          <w:p>
            <w:pPr>
              <w:snapToGrid w:val="0"/>
              <w:jc w:val="right"/>
              <w:rPr>
                <w:sz w:val="18"/>
                <w:szCs w:val="18"/>
              </w:rPr>
            </w:pPr>
            <w:r>
              <w:rPr>
                <w:rFonts w:ascii="宋体" w:hAnsi="宋体" w:eastAsia="宋体" w:cs="宋体"/>
                <w:b w:val="0"/>
                <w:i w:val="0"/>
                <w:color w:val="000000"/>
                <w:sz w:val="18"/>
                <w:szCs w:val="18"/>
              </w:rPr>
              <w:t>2,672.43</w:t>
            </w:r>
          </w:p>
        </w:tc>
        <w:tc>
          <w:tcPr>
            <w:tcW w:w="882" w:type="dxa"/>
            <w:vAlign w:val="center"/>
          </w:tcPr>
          <w:p>
            <w:pPr>
              <w:snapToGrid w:val="0"/>
              <w:jc w:val="right"/>
              <w:rPr>
                <w:sz w:val="18"/>
                <w:szCs w:val="18"/>
              </w:rPr>
            </w:pPr>
            <w:r>
              <w:rPr>
                <w:rFonts w:ascii="宋体" w:hAnsi="宋体" w:eastAsia="宋体" w:cs="宋体"/>
                <w:b w:val="0"/>
                <w:i w:val="0"/>
                <w:color w:val="000000"/>
                <w:sz w:val="18"/>
                <w:szCs w:val="18"/>
              </w:rPr>
              <w:t>2,672.43</w:t>
            </w:r>
          </w:p>
        </w:tc>
        <w:tc>
          <w:tcPr>
            <w:tcW w:w="82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9" w:type="dxa"/>
            <w:vAlign w:val="center"/>
          </w:tcPr>
          <w:p>
            <w:pPr>
              <w:snapToGrid w:val="0"/>
              <w:jc w:val="left"/>
              <w:rPr>
                <w:sz w:val="18"/>
                <w:szCs w:val="18"/>
              </w:rPr>
            </w:pPr>
            <w:r>
              <w:rPr>
                <w:rFonts w:ascii="宋体" w:hAnsi="宋体" w:eastAsia="宋体" w:cs="宋体"/>
                <w:b w:val="0"/>
                <w:i w:val="0"/>
                <w:color w:val="000000"/>
                <w:sz w:val="18"/>
                <w:szCs w:val="18"/>
              </w:rPr>
              <w:t>2149999</w:t>
            </w:r>
          </w:p>
        </w:tc>
        <w:tc>
          <w:tcPr>
            <w:tcW w:w="2311" w:type="dxa"/>
            <w:vAlign w:val="center"/>
          </w:tcPr>
          <w:p>
            <w:pPr>
              <w:snapToGrid w:val="0"/>
              <w:jc w:val="left"/>
              <w:rPr>
                <w:sz w:val="18"/>
                <w:szCs w:val="18"/>
              </w:rPr>
            </w:pPr>
            <w:r>
              <w:rPr>
                <w:rFonts w:ascii="宋体" w:hAnsi="宋体" w:eastAsia="宋体" w:cs="宋体"/>
                <w:b w:val="0"/>
                <w:i w:val="0"/>
                <w:color w:val="000000"/>
                <w:sz w:val="18"/>
                <w:szCs w:val="18"/>
              </w:rPr>
              <w:t>其他交通运输支出</w:t>
            </w:r>
          </w:p>
        </w:tc>
        <w:tc>
          <w:tcPr>
            <w:tcW w:w="898" w:type="dxa"/>
            <w:vAlign w:val="center"/>
          </w:tcPr>
          <w:p>
            <w:pPr>
              <w:snapToGrid w:val="0"/>
              <w:jc w:val="right"/>
              <w:rPr>
                <w:sz w:val="18"/>
                <w:szCs w:val="18"/>
              </w:rPr>
            </w:pPr>
            <w:r>
              <w:rPr>
                <w:rFonts w:ascii="宋体" w:hAnsi="宋体" w:eastAsia="宋体" w:cs="宋体"/>
                <w:b w:val="0"/>
                <w:i w:val="0"/>
                <w:color w:val="000000"/>
                <w:sz w:val="18"/>
                <w:szCs w:val="18"/>
              </w:rPr>
              <w:t>2,672.43</w:t>
            </w:r>
          </w:p>
        </w:tc>
        <w:tc>
          <w:tcPr>
            <w:tcW w:w="882" w:type="dxa"/>
            <w:vAlign w:val="center"/>
          </w:tcPr>
          <w:p>
            <w:pPr>
              <w:snapToGrid w:val="0"/>
              <w:jc w:val="right"/>
              <w:rPr>
                <w:sz w:val="18"/>
                <w:szCs w:val="18"/>
              </w:rPr>
            </w:pPr>
            <w:r>
              <w:rPr>
                <w:rFonts w:ascii="宋体" w:hAnsi="宋体" w:eastAsia="宋体" w:cs="宋体"/>
                <w:b w:val="0"/>
                <w:i w:val="0"/>
                <w:color w:val="000000"/>
                <w:sz w:val="18"/>
                <w:szCs w:val="18"/>
              </w:rPr>
              <w:t>2,672.43</w:t>
            </w:r>
          </w:p>
        </w:tc>
        <w:tc>
          <w:tcPr>
            <w:tcW w:w="82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7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单位：郸城县道路运输管理局</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13"/>
        <w:gridCol w:w="2767"/>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本年支出合计</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上缴上级支出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经营支出</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13"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767"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13" w:type="dxa"/>
            <w:vMerge w:val="continue"/>
            <w:vAlign w:val="center"/>
          </w:tcPr>
          <w:p>
            <w:pPr>
              <w:rPr>
                <w:sz w:val="18"/>
                <w:szCs w:val="18"/>
              </w:rPr>
            </w:pPr>
          </w:p>
        </w:tc>
        <w:tc>
          <w:tcPr>
            <w:tcW w:w="2767"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13" w:type="dxa"/>
            <w:vMerge w:val="continue"/>
            <w:vAlign w:val="center"/>
          </w:tcPr>
          <w:p>
            <w:pPr>
              <w:rPr>
                <w:sz w:val="18"/>
                <w:szCs w:val="18"/>
              </w:rPr>
            </w:pPr>
          </w:p>
        </w:tc>
        <w:tc>
          <w:tcPr>
            <w:tcW w:w="2767"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744.95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2,762.43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214</w:t>
            </w:r>
          </w:p>
        </w:tc>
        <w:tc>
          <w:tcPr>
            <w:tcW w:w="2767" w:type="dxa"/>
            <w:vAlign w:val="center"/>
          </w:tcPr>
          <w:p>
            <w:pPr>
              <w:snapToGrid w:val="0"/>
              <w:jc w:val="left"/>
              <w:rPr>
                <w:sz w:val="18"/>
                <w:szCs w:val="18"/>
              </w:rPr>
            </w:pPr>
            <w:r>
              <w:rPr>
                <w:rFonts w:ascii="宋体" w:hAnsi="宋体" w:eastAsia="宋体" w:cs="宋体"/>
                <w:b w:val="0"/>
                <w:i w:val="0"/>
                <w:color w:val="000000"/>
                <w:sz w:val="18"/>
                <w:szCs w:val="18"/>
              </w:rPr>
              <w:t>交通运输支出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744.95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2,762.43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21401</w:t>
            </w:r>
          </w:p>
        </w:tc>
        <w:tc>
          <w:tcPr>
            <w:tcW w:w="2767" w:type="dxa"/>
            <w:vAlign w:val="center"/>
          </w:tcPr>
          <w:p>
            <w:pPr>
              <w:snapToGrid w:val="0"/>
              <w:jc w:val="left"/>
              <w:rPr>
                <w:sz w:val="18"/>
                <w:szCs w:val="18"/>
              </w:rPr>
            </w:pPr>
            <w:r>
              <w:rPr>
                <w:rFonts w:ascii="宋体" w:hAnsi="宋体" w:eastAsia="宋体" w:cs="宋体"/>
                <w:b w:val="0"/>
                <w:i w:val="0"/>
                <w:color w:val="000000"/>
                <w:sz w:val="18"/>
                <w:szCs w:val="18"/>
              </w:rPr>
              <w:t>公路水路运输</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834.95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744.95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90.00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2140104</w:t>
            </w:r>
          </w:p>
        </w:tc>
        <w:tc>
          <w:tcPr>
            <w:tcW w:w="2767" w:type="dxa"/>
            <w:vAlign w:val="center"/>
          </w:tcPr>
          <w:p>
            <w:pPr>
              <w:snapToGrid w:val="0"/>
              <w:jc w:val="left"/>
              <w:rPr>
                <w:sz w:val="18"/>
                <w:szCs w:val="18"/>
              </w:rPr>
            </w:pPr>
            <w:r>
              <w:rPr>
                <w:rFonts w:ascii="宋体" w:hAnsi="宋体" w:eastAsia="宋体" w:cs="宋体"/>
                <w:b w:val="0"/>
                <w:i w:val="0"/>
                <w:color w:val="000000"/>
                <w:sz w:val="18"/>
                <w:szCs w:val="18"/>
              </w:rPr>
              <w:t>公路建设</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90.00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90.00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2140112</w:t>
            </w:r>
          </w:p>
        </w:tc>
        <w:tc>
          <w:tcPr>
            <w:tcW w:w="2767" w:type="dxa"/>
            <w:vAlign w:val="center"/>
          </w:tcPr>
          <w:p>
            <w:pPr>
              <w:snapToGrid w:val="0"/>
              <w:jc w:val="left"/>
              <w:rPr>
                <w:sz w:val="18"/>
                <w:szCs w:val="18"/>
              </w:rPr>
            </w:pPr>
            <w:r>
              <w:rPr>
                <w:rFonts w:ascii="宋体" w:hAnsi="宋体" w:eastAsia="宋体" w:cs="宋体"/>
                <w:b w:val="0"/>
                <w:i w:val="0"/>
                <w:color w:val="000000"/>
                <w:sz w:val="18"/>
                <w:szCs w:val="18"/>
              </w:rPr>
              <w:t>公路运输管理</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744.95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744.95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21499</w:t>
            </w:r>
          </w:p>
        </w:tc>
        <w:tc>
          <w:tcPr>
            <w:tcW w:w="2767" w:type="dxa"/>
            <w:vAlign w:val="center"/>
          </w:tcPr>
          <w:p>
            <w:pPr>
              <w:snapToGrid w:val="0"/>
              <w:jc w:val="left"/>
              <w:rPr>
                <w:sz w:val="18"/>
                <w:szCs w:val="18"/>
              </w:rPr>
            </w:pPr>
            <w:r>
              <w:rPr>
                <w:rFonts w:ascii="宋体" w:hAnsi="宋体" w:eastAsia="宋体" w:cs="宋体"/>
                <w:b w:val="0"/>
                <w:i w:val="0"/>
                <w:color w:val="000000"/>
                <w:sz w:val="18"/>
                <w:szCs w:val="18"/>
              </w:rPr>
              <w:t>其他交通运输支出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2,672.43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2,672.43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13" w:type="dxa"/>
            <w:vAlign w:val="center"/>
          </w:tcPr>
          <w:p>
            <w:pPr>
              <w:snapToGrid w:val="0"/>
              <w:jc w:val="left"/>
              <w:rPr>
                <w:sz w:val="18"/>
                <w:szCs w:val="18"/>
              </w:rPr>
            </w:pPr>
            <w:r>
              <w:rPr>
                <w:rFonts w:ascii="宋体" w:hAnsi="宋体" w:eastAsia="宋体" w:cs="宋体"/>
                <w:b w:val="0"/>
                <w:i w:val="0"/>
                <w:color w:val="000000"/>
                <w:sz w:val="18"/>
                <w:szCs w:val="18"/>
              </w:rPr>
              <w:t>2149999</w:t>
            </w:r>
          </w:p>
        </w:tc>
        <w:tc>
          <w:tcPr>
            <w:tcW w:w="2767" w:type="dxa"/>
            <w:vAlign w:val="center"/>
          </w:tcPr>
          <w:p>
            <w:pPr>
              <w:snapToGrid w:val="0"/>
              <w:jc w:val="left"/>
              <w:rPr>
                <w:sz w:val="18"/>
                <w:szCs w:val="18"/>
              </w:rPr>
            </w:pPr>
            <w:r>
              <w:rPr>
                <w:rFonts w:ascii="宋体" w:hAnsi="宋体" w:eastAsia="宋体" w:cs="宋体"/>
                <w:b w:val="0"/>
                <w:i w:val="0"/>
                <w:color w:val="000000"/>
                <w:sz w:val="18"/>
                <w:szCs w:val="18"/>
              </w:rPr>
              <w:t>其他交通运输支出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2,672.43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2,672.43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单位：郸城县道路运输管理局</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872"/>
        <w:gridCol w:w="454"/>
        <w:gridCol w:w="1114"/>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sz w:val="18"/>
                <w:szCs w:val="18"/>
              </w:rPr>
            </w:pPr>
            <w:r>
              <w:rPr>
                <w:rFonts w:ascii="宋体" w:hAnsi="宋体" w:eastAsia="宋体" w:cs="宋体"/>
                <w:b w:val="0"/>
                <w:i w:val="0"/>
                <w:color w:val="000000"/>
                <w:sz w:val="18"/>
                <w:szCs w:val="18"/>
              </w:rPr>
              <w:t>收     入</w:t>
            </w:r>
          </w:p>
        </w:tc>
        <w:tc>
          <w:tcPr>
            <w:tcW w:w="8384" w:type="dxa"/>
            <w:gridSpan w:val="6"/>
            <w:vAlign w:val="center"/>
          </w:tcPr>
          <w:p>
            <w:pPr>
              <w:snapToGrid w:val="0"/>
              <w:jc w:val="center"/>
              <w:rPr>
                <w:sz w:val="18"/>
                <w:szCs w:val="18"/>
              </w:rPr>
            </w:pPr>
            <w:r>
              <w:rPr>
                <w:rFonts w:ascii="宋体" w:hAnsi="宋体" w:eastAsia="宋体" w:cs="宋体"/>
                <w:b w:val="0"/>
                <w:i w:val="0"/>
                <w:color w:val="000000"/>
                <w:sz w:val="18"/>
                <w:szCs w:val="18"/>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60"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金额</w:t>
            </w:r>
          </w:p>
        </w:tc>
        <w:tc>
          <w:tcPr>
            <w:tcW w:w="2872"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54"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114"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一般公共预算财政拨款</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政府性基金预算财政拨款</w:t>
            </w:r>
          </w:p>
        </w:tc>
        <w:tc>
          <w:tcPr>
            <w:tcW w:w="1344" w:type="dxa"/>
            <w:vMerge w:val="restart"/>
            <w:vAlign w:val="center"/>
          </w:tcPr>
          <w:p>
            <w:pPr>
              <w:snapToGrid w:val="0"/>
              <w:jc w:val="center"/>
              <w:rPr>
                <w:sz w:val="18"/>
                <w:szCs w:val="18"/>
              </w:rPr>
            </w:pPr>
            <w:r>
              <w:rPr>
                <w:rFonts w:ascii="宋体" w:hAnsi="宋体" w:eastAsia="宋体" w:cs="宋体"/>
                <w:b w:val="0"/>
                <w:i w:val="0"/>
                <w:color w:val="000000"/>
                <w:sz w:val="18"/>
                <w:szCs w:val="18"/>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sz w:val="18"/>
                <w:szCs w:val="18"/>
              </w:rPr>
            </w:pPr>
          </w:p>
        </w:tc>
        <w:tc>
          <w:tcPr>
            <w:tcW w:w="460" w:type="dxa"/>
            <w:vMerge w:val="continue"/>
            <w:vAlign w:val="center"/>
          </w:tcPr>
          <w:p>
            <w:pPr>
              <w:rPr>
                <w:sz w:val="18"/>
                <w:szCs w:val="18"/>
              </w:rPr>
            </w:pPr>
          </w:p>
        </w:tc>
        <w:tc>
          <w:tcPr>
            <w:tcW w:w="1300" w:type="dxa"/>
            <w:vMerge w:val="continue"/>
            <w:vAlign w:val="center"/>
          </w:tcPr>
          <w:p>
            <w:pPr>
              <w:rPr>
                <w:sz w:val="18"/>
                <w:szCs w:val="18"/>
              </w:rPr>
            </w:pPr>
          </w:p>
        </w:tc>
        <w:tc>
          <w:tcPr>
            <w:tcW w:w="2872" w:type="dxa"/>
            <w:vMerge w:val="continue"/>
            <w:vAlign w:val="center"/>
          </w:tcPr>
          <w:p>
            <w:pPr>
              <w:rPr>
                <w:sz w:val="18"/>
                <w:szCs w:val="18"/>
              </w:rPr>
            </w:pPr>
          </w:p>
        </w:tc>
        <w:tc>
          <w:tcPr>
            <w:tcW w:w="454" w:type="dxa"/>
            <w:vMerge w:val="continue"/>
            <w:vAlign w:val="center"/>
          </w:tcPr>
          <w:p>
            <w:pPr>
              <w:rPr>
                <w:sz w:val="18"/>
                <w:szCs w:val="18"/>
              </w:rPr>
            </w:pPr>
          </w:p>
        </w:tc>
        <w:tc>
          <w:tcPr>
            <w:tcW w:w="1114" w:type="dxa"/>
            <w:vMerge w:val="continue"/>
            <w:vAlign w:val="center"/>
          </w:tcPr>
          <w:p>
            <w:pPr>
              <w:rPr>
                <w:sz w:val="18"/>
                <w:szCs w:val="18"/>
              </w:rPr>
            </w:pPr>
          </w:p>
        </w:tc>
        <w:tc>
          <w:tcPr>
            <w:tcW w:w="1300" w:type="dxa"/>
            <w:vMerge w:val="continue"/>
            <w:vAlign w:val="center"/>
          </w:tcPr>
          <w:p>
            <w:pPr>
              <w:rPr>
                <w:sz w:val="18"/>
                <w:szCs w:val="18"/>
              </w:rPr>
            </w:pPr>
          </w:p>
        </w:tc>
        <w:tc>
          <w:tcPr>
            <w:tcW w:w="1300" w:type="dxa"/>
            <w:vMerge w:val="continue"/>
            <w:vAlign w:val="center"/>
          </w:tcPr>
          <w:p>
            <w:pPr>
              <w:rPr>
                <w:sz w:val="18"/>
                <w:szCs w:val="18"/>
              </w:rPr>
            </w:pPr>
          </w:p>
        </w:tc>
        <w:tc>
          <w:tcPr>
            <w:tcW w:w="134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60" w:type="dxa"/>
            <w:vAlign w:val="center"/>
          </w:tcPr>
          <w:p>
            <w:pPr>
              <w:rPr>
                <w:sz w:val="18"/>
                <w:szCs w:val="18"/>
              </w:rPr>
            </w:pP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872"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54" w:type="dxa"/>
            <w:vAlign w:val="center"/>
          </w:tcPr>
          <w:p>
            <w:pPr>
              <w:rPr>
                <w:sz w:val="18"/>
                <w:szCs w:val="18"/>
              </w:rPr>
            </w:pPr>
          </w:p>
        </w:tc>
        <w:tc>
          <w:tcPr>
            <w:tcW w:w="1114"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44" w:type="dxa"/>
            <w:vAlign w:val="center"/>
          </w:tcPr>
          <w:p>
            <w:pPr>
              <w:snapToGrid w:val="0"/>
              <w:jc w:val="center"/>
              <w:rPr>
                <w:sz w:val="18"/>
                <w:szCs w:val="18"/>
              </w:rPr>
            </w:pPr>
            <w:r>
              <w:rPr>
                <w:rFonts w:ascii="宋体" w:hAnsi="宋体" w:eastAsia="宋体" w:cs="宋体"/>
                <w:b w:val="0"/>
                <w:i w:val="0"/>
                <w:color w:val="000000"/>
                <w:sz w:val="18"/>
                <w:szCs w:val="18"/>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2872"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72"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2872"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年初财政拨款结转和结余</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72" w:type="dxa"/>
            <w:vAlign w:val="center"/>
          </w:tcPr>
          <w:p>
            <w:pPr>
              <w:snapToGrid w:val="0"/>
              <w:jc w:val="left"/>
              <w:rPr>
                <w:sz w:val="18"/>
                <w:szCs w:val="18"/>
              </w:rPr>
            </w:pPr>
            <w:r>
              <w:rPr>
                <w:rFonts w:ascii="宋体" w:hAnsi="宋体" w:eastAsia="宋体" w:cs="宋体"/>
                <w:b w:val="0"/>
                <w:i w:val="0"/>
                <w:color w:val="000000"/>
                <w:sz w:val="18"/>
                <w:szCs w:val="18"/>
              </w:rPr>
              <w:t>年末财政拨款结转和结余</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72" w:type="dxa"/>
            <w:vAlign w:val="center"/>
          </w:tcPr>
          <w:p>
            <w:pPr>
              <w:rPr>
                <w:sz w:val="18"/>
                <w:szCs w:val="18"/>
              </w:rPr>
            </w:pPr>
          </w:p>
        </w:tc>
        <w:tc>
          <w:tcPr>
            <w:tcW w:w="454" w:type="dxa"/>
            <w:vAlign w:val="center"/>
          </w:tcPr>
          <w:p>
            <w:pPr>
              <w:snapToGrid w:val="0"/>
              <w:jc w:val="center"/>
              <w:rPr>
                <w:sz w:val="18"/>
                <w:szCs w:val="18"/>
              </w:rPr>
            </w:pPr>
            <w:r>
              <w:rPr>
                <w:rFonts w:ascii="宋体" w:hAnsi="宋体" w:eastAsia="宋体" w:cs="宋体"/>
                <w:b w:val="0"/>
                <w:i w:val="0"/>
                <w:color w:val="000000"/>
                <w:sz w:val="18"/>
                <w:szCs w:val="18"/>
              </w:rPr>
              <w:t>61</w:t>
            </w:r>
          </w:p>
        </w:tc>
        <w:tc>
          <w:tcPr>
            <w:tcW w:w="1114"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72" w:type="dxa"/>
            <w:vAlign w:val="center"/>
          </w:tcPr>
          <w:p>
            <w:pPr>
              <w:rPr>
                <w:sz w:val="18"/>
                <w:szCs w:val="18"/>
              </w:rPr>
            </w:pPr>
          </w:p>
        </w:tc>
        <w:tc>
          <w:tcPr>
            <w:tcW w:w="454" w:type="dxa"/>
            <w:vAlign w:val="center"/>
          </w:tcPr>
          <w:p>
            <w:pPr>
              <w:snapToGrid w:val="0"/>
              <w:jc w:val="center"/>
              <w:rPr>
                <w:sz w:val="18"/>
                <w:szCs w:val="18"/>
              </w:rPr>
            </w:pPr>
            <w:r>
              <w:rPr>
                <w:rFonts w:ascii="宋体" w:hAnsi="宋体" w:eastAsia="宋体" w:cs="宋体"/>
                <w:b w:val="0"/>
                <w:i w:val="0"/>
                <w:color w:val="000000"/>
                <w:sz w:val="18"/>
                <w:szCs w:val="18"/>
              </w:rPr>
              <w:t>62</w:t>
            </w:r>
          </w:p>
        </w:tc>
        <w:tc>
          <w:tcPr>
            <w:tcW w:w="1114"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72" w:type="dxa"/>
            <w:vAlign w:val="center"/>
          </w:tcPr>
          <w:p>
            <w:pPr>
              <w:rPr>
                <w:sz w:val="18"/>
                <w:szCs w:val="18"/>
              </w:rPr>
            </w:pPr>
          </w:p>
        </w:tc>
        <w:tc>
          <w:tcPr>
            <w:tcW w:w="454" w:type="dxa"/>
            <w:vAlign w:val="center"/>
          </w:tcPr>
          <w:p>
            <w:pPr>
              <w:snapToGrid w:val="0"/>
              <w:jc w:val="center"/>
              <w:rPr>
                <w:sz w:val="18"/>
                <w:szCs w:val="18"/>
              </w:rPr>
            </w:pPr>
            <w:r>
              <w:rPr>
                <w:rFonts w:ascii="宋体" w:hAnsi="宋体" w:eastAsia="宋体" w:cs="宋体"/>
                <w:b w:val="0"/>
                <w:i w:val="0"/>
                <w:color w:val="000000"/>
                <w:sz w:val="18"/>
                <w:szCs w:val="18"/>
              </w:rPr>
              <w:t>63</w:t>
            </w:r>
          </w:p>
        </w:tc>
        <w:tc>
          <w:tcPr>
            <w:tcW w:w="1114"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2872"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54" w:type="dxa"/>
            <w:vAlign w:val="center"/>
          </w:tcPr>
          <w:p>
            <w:pPr>
              <w:snapToGrid w:val="0"/>
              <w:jc w:val="center"/>
              <w:rPr>
                <w:sz w:val="18"/>
                <w:szCs w:val="18"/>
              </w:rPr>
            </w:pPr>
            <w:r>
              <w:rPr>
                <w:rFonts w:ascii="宋体" w:hAnsi="宋体" w:eastAsia="宋体" w:cs="宋体"/>
                <w:b w:val="0"/>
                <w:i w:val="0"/>
                <w:color w:val="000000"/>
                <w:sz w:val="18"/>
                <w:szCs w:val="18"/>
              </w:rPr>
              <w:t>64</w:t>
            </w:r>
          </w:p>
        </w:tc>
        <w:tc>
          <w:tcPr>
            <w:tcW w:w="1114"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单位：郸城县道路运输管理局</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4306"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376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426"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426"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744.95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2,762.43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214</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交通运输支出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3,507.38</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744.95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2,762.43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21401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公路水路运输</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834.95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744.95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90.00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2140104</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公路建设</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90.00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90.00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2140112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公路运输管理</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744.95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744.95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21499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其他交通运输支出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2,672.43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2,672.43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2149999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其他交通运输支出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2,672.43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2,672.43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单位：郸城县道路运输管理局</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人员经费</w:t>
            </w:r>
          </w:p>
        </w:tc>
        <w:tc>
          <w:tcPr>
            <w:tcW w:w="8684" w:type="dxa"/>
            <w:gridSpan w:val="6"/>
            <w:vAlign w:val="center"/>
          </w:tcPr>
          <w:p>
            <w:pPr>
              <w:snapToGrid w:val="0"/>
              <w:jc w:val="center"/>
              <w:rPr>
                <w:sz w:val="18"/>
                <w:szCs w:val="18"/>
              </w:rPr>
            </w:pPr>
            <w:r>
              <w:rPr>
                <w:rFonts w:ascii="宋体" w:hAnsi="宋体" w:eastAsia="宋体" w:cs="宋体"/>
                <w:b w:val="0"/>
                <w:i w:val="0"/>
                <w:color w:val="000000"/>
                <w:sz w:val="18"/>
                <w:szCs w:val="18"/>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7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4"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780" w:type="dxa"/>
            <w:vMerge w:val="continue"/>
            <w:vAlign w:val="center"/>
          </w:tcPr>
          <w:p>
            <w:pPr>
              <w:rPr>
                <w:sz w:val="18"/>
                <w:szCs w:val="18"/>
              </w:rPr>
            </w:pPr>
          </w:p>
        </w:tc>
        <w:tc>
          <w:tcPr>
            <w:tcW w:w="96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451.48</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200.65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债务利息及费用支出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基本工资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428.10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办公费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国内债务付息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津贴补贴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印刷费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国外债务付息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咨询费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伙食补助费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手续费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房屋建筑物购建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绩效工资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办公设备购置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17"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机关事业单位基本养老保险缴费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专用设备购置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职业年金缴费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邮电费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31005</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基础设施建设</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职工基本医疗保险缴费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1.19</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取暖费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31006</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大型修缮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公务员医疗补助缴费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物业管理费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信息网络及软件购置更新</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其他社会保障缴费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22.18</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差旅费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物资储备</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住房公积金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因公出国（境）费用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土地补偿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维修（护）费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安置补助</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租赁费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地上附着物和青苗补偿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92.82</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会议费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拆迁补偿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离休费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培训费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公务接待费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其他交通工具购置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退职（役）费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专用材料费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文物和陈列品购置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抚恤金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被装购置费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无形资产购置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生活补助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92.82</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专用燃料费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救济费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劳务费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委托业务费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200.65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国家赔偿费用支出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72"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助学金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工会经费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对民间非营利组织和群众性自治组织补贴</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奖励金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福利费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经常性赠与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个人农业生产补贴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公务用车运行维护费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资本性赠与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代缴社会保险费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30240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税金及附加费用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sz w:val="18"/>
                <w:szCs w:val="18"/>
              </w:rPr>
            </w:pPr>
          </w:p>
        </w:tc>
        <w:tc>
          <w:tcPr>
            <w:tcW w:w="2380" w:type="dxa"/>
            <w:vAlign w:val="center"/>
          </w:tcPr>
          <w:p>
            <w:pPr>
              <w:rPr>
                <w:sz w:val="18"/>
                <w:szCs w:val="18"/>
              </w:rPr>
            </w:pPr>
          </w:p>
        </w:tc>
        <w:tc>
          <w:tcPr>
            <w:tcW w:w="960" w:type="dxa"/>
            <w:vAlign w:val="center"/>
          </w:tcPr>
          <w:p>
            <w:pPr>
              <w:rPr>
                <w:sz w:val="18"/>
                <w:szCs w:val="18"/>
              </w:rPr>
            </w:pP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sz w:val="18"/>
                <w:szCs w:val="18"/>
              </w:rPr>
            </w:pPr>
            <w:r>
              <w:rPr>
                <w:rFonts w:ascii="宋体" w:hAnsi="宋体" w:eastAsia="宋体" w:cs="宋体"/>
                <w:b w:val="0"/>
                <w:i w:val="0"/>
                <w:color w:val="000000"/>
                <w:sz w:val="18"/>
                <w:szCs w:val="18"/>
              </w:rPr>
              <w:t>人员经费合计</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544.30</w:t>
            </w:r>
          </w:p>
        </w:tc>
        <w:tc>
          <w:tcPr>
            <w:tcW w:w="7720" w:type="dxa"/>
            <w:gridSpan w:val="5"/>
            <w:vAlign w:val="center"/>
          </w:tcPr>
          <w:p>
            <w:pPr>
              <w:snapToGrid w:val="0"/>
              <w:jc w:val="center"/>
              <w:rPr>
                <w:sz w:val="18"/>
                <w:szCs w:val="18"/>
              </w:rPr>
            </w:pPr>
            <w:r>
              <w:rPr>
                <w:rFonts w:ascii="宋体" w:hAnsi="宋体" w:eastAsia="宋体" w:cs="宋体"/>
                <w:b w:val="0"/>
                <w:i w:val="0"/>
                <w:color w:val="000000"/>
                <w:sz w:val="18"/>
                <w:szCs w:val="18"/>
              </w:rPr>
              <w:t>公用经费合计</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200.65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单位：郸城县道路运输管理局</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年初结转和结余</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w:t>
            </w:r>
          </w:p>
        </w:tc>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c>
          <w:tcPr>
            <w:tcW w:w="1358" w:type="dxa"/>
            <w:vMerge w:val="restart"/>
            <w:vAlign w:val="center"/>
          </w:tcPr>
          <w:p>
            <w:pPr>
              <w:snapToGrid w:val="0"/>
              <w:jc w:val="center"/>
              <w:rPr>
                <w:sz w:val="18"/>
                <w:szCs w:val="18"/>
              </w:rPr>
            </w:pPr>
            <w:r>
              <w:rPr>
                <w:rFonts w:ascii="宋体" w:hAnsi="宋体" w:eastAsia="宋体" w:cs="宋体"/>
                <w:b w:val="0"/>
                <w:i w:val="0"/>
                <w:color w:val="000000"/>
                <w:sz w:val="18"/>
                <w:szCs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4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58"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rPr>
                <w:sz w:val="18"/>
                <w:szCs w:val="18"/>
              </w:rPr>
            </w:pPr>
          </w:p>
        </w:tc>
        <w:tc>
          <w:tcPr>
            <w:tcW w:w="4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单位：郸城县道路运输管理局</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6518"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sz w:val="18"/>
                <w:szCs w:val="18"/>
              </w:rPr>
            </w:pPr>
            <w:r>
              <w:rPr>
                <w:rFonts w:ascii="宋体" w:hAnsi="宋体" w:eastAsia="宋体" w:cs="宋体"/>
                <w:b w:val="0"/>
                <w:i w:val="0"/>
                <w:color w:val="000000"/>
                <w:sz w:val="18"/>
                <w:szCs w:val="18"/>
              </w:rPr>
              <w:t>科目代码</w:t>
            </w:r>
          </w:p>
        </w:tc>
        <w:tc>
          <w:tcPr>
            <w:tcW w:w="55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2158"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158"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rPr>
                <w:sz w:val="18"/>
                <w:szCs w:val="18"/>
              </w:rPr>
            </w:pPr>
          </w:p>
        </w:tc>
        <w:tc>
          <w:tcPr>
            <w:tcW w:w="5580" w:type="dxa"/>
            <w:vAlign w:val="center"/>
          </w:tcPr>
          <w:p>
            <w:pPr>
              <w:rPr>
                <w:sz w:val="18"/>
                <w:szCs w:val="18"/>
              </w:rPr>
            </w:pPr>
          </w:p>
        </w:tc>
        <w:tc>
          <w:tcPr>
            <w:tcW w:w="2180" w:type="dxa"/>
            <w:vAlign w:val="center"/>
          </w:tcPr>
          <w:p>
            <w:pPr>
              <w:rPr>
                <w:sz w:val="18"/>
                <w:szCs w:val="18"/>
              </w:rPr>
            </w:pPr>
          </w:p>
        </w:tc>
        <w:tc>
          <w:tcPr>
            <w:tcW w:w="2180" w:type="dxa"/>
            <w:vAlign w:val="center"/>
          </w:tcPr>
          <w:p>
            <w:pPr>
              <w:rPr>
                <w:sz w:val="18"/>
                <w:szCs w:val="18"/>
              </w:rPr>
            </w:pPr>
          </w:p>
        </w:tc>
        <w:tc>
          <w:tcPr>
            <w:tcW w:w="21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单位：郸城县道路运输管理局</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sz w:val="18"/>
                <w:szCs w:val="18"/>
              </w:rPr>
            </w:pPr>
            <w:r>
              <w:rPr>
                <w:rFonts w:ascii="宋体" w:hAnsi="宋体" w:eastAsia="宋体" w:cs="宋体"/>
                <w:b w:val="0"/>
                <w:i w:val="0"/>
                <w:color w:val="000000"/>
                <w:sz w:val="18"/>
                <w:szCs w:val="18"/>
              </w:rPr>
              <w:t>预算数</w:t>
            </w:r>
          </w:p>
        </w:tc>
        <w:tc>
          <w:tcPr>
            <w:tcW w:w="6998" w:type="dxa"/>
            <w:gridSpan w:val="6"/>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98"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9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198" w:type="dxa"/>
            <w:vAlign w:val="center"/>
          </w:tcPr>
          <w:p>
            <w:pPr>
              <w:snapToGrid w:val="0"/>
              <w:jc w:val="center"/>
              <w:rPr>
                <w:sz w:val="18"/>
                <w:szCs w:val="18"/>
              </w:rPr>
            </w:pPr>
            <w:r>
              <w:rPr>
                <w:rFonts w:ascii="宋体" w:hAnsi="宋体" w:eastAsia="宋体" w:cs="宋体"/>
                <w:b w:val="0"/>
                <w:i w:val="0"/>
                <w:color w:val="000000"/>
                <w:sz w:val="18"/>
                <w:szCs w:val="18"/>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9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说明：我单位没有“三公”经费预算，也没有“三公”经费支出，故本表无数据。</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3507.38</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与上年度相比，收、支总计各减少1725.86万元，下降32.98%，主要原因是：本年单位项目支出减少，收支减少。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3507.38</w:t>
      </w:r>
      <w:r>
        <w:rPr>
          <w:rFonts w:hint="eastAsia" w:ascii="仿宋_GB2312" w:hAnsi="仿宋_GB2312" w:eastAsia="仿宋_GB2312" w:cs="仿宋_GB2312"/>
          <w:sz w:val="32"/>
          <w:szCs w:val="32"/>
          <w:lang w:val="en-US" w:eastAsia="zh-CN"/>
        </w:rPr>
        <w:t>万元，其中：财政拨款收入3507.38万元，占100.00%。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3507.38</w:t>
      </w:r>
      <w:r>
        <w:rPr>
          <w:rFonts w:hint="eastAsia" w:ascii="仿宋_GB2312" w:hAnsi="仿宋_GB2312" w:eastAsia="仿宋_GB2312" w:cs="仿宋_GB2312"/>
          <w:sz w:val="32"/>
          <w:szCs w:val="32"/>
          <w:lang w:val="en-US" w:eastAsia="zh-CN"/>
        </w:rPr>
        <w:t>万元，其中：基本支出744.95万元，占21.24%;项目支出2762.43万元，占78.76%。</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3507.38</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与上年度相比，财政拨款收、支总计各减少1725.86万元，下降32.98%，主要原因是：本</w:t>
      </w:r>
      <w:r>
        <w:rPr>
          <w:rFonts w:hint="eastAsia" w:ascii="仿宋_GB2312" w:hAnsi="仿宋_GB2312" w:eastAsia="仿宋_GB2312" w:cs="仿宋_GB2312"/>
          <w:sz w:val="32"/>
          <w:szCs w:val="32"/>
          <w:u w:val="none"/>
          <w:lang w:val="en-US" w:eastAsia="zh-CN"/>
        </w:rPr>
        <w:t>年</w:t>
      </w:r>
      <w:r>
        <w:rPr>
          <w:rFonts w:hint="eastAsia" w:ascii="仿宋_GB2312" w:hAnsi="仿宋_GB2312" w:eastAsia="仿宋_GB2312" w:cs="仿宋_GB2312"/>
          <w:sz w:val="32"/>
          <w:szCs w:val="32"/>
          <w:lang w:val="en-US" w:eastAsia="zh-CN"/>
        </w:rPr>
        <w:t>单位项目支出减少，收支减少。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2024年度一般公共预算财政拨款支出3507.38万元，占支出合计的100.00%。与上年度相比，一般公共预算财政拨款支出减少1725.86万元，下降32.98%，主要原因是：本年单位项目支出减少，收支减少。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年度一般公共预算财政拨款支出3507.38万元，主要用于以下方面：交通运输（类）支出3507.38万元，占100.00%。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3507.38</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3507.38</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交通运输支出（类）公路水路运输（款）公路建设（项）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交通运输支出（类）公路水路运输（款）公路运输管理（项）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277.83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744.95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，完成年初预算的268.13%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之前年度指标于本年支出。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交通运输支出（类）其他交通运输支出（款）其他交通运输支出（项）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2672.43</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该项根据当年的分配资金情况和项目情况进行申请，不在年初预算内。</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744.95</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544.30</w:t>
      </w:r>
      <w:r>
        <w:rPr>
          <w:rFonts w:hint="eastAsia" w:ascii="仿宋_GB2312" w:hAnsi="仿宋_GB2312" w:eastAsia="仿宋_GB2312" w:cs="仿宋_GB2312"/>
          <w:sz w:val="32"/>
          <w:szCs w:val="32"/>
          <w:lang w:val="en-US" w:eastAsia="zh-CN"/>
        </w:rPr>
        <w:t>万元，主要包括：基本工资、职工基本医疗保险缴费、其他社会保障缴费、生活补助；公用经费</w:t>
      </w:r>
      <w:r>
        <w:rPr>
          <w:rFonts w:hint="eastAsia" w:ascii="仿宋_GB2312" w:hAnsi="Times New Roman" w:eastAsia="仿宋_GB2312"/>
          <w:sz w:val="32"/>
          <w:szCs w:val="32"/>
          <w:lang w:val="en-US" w:eastAsia="zh-CN"/>
        </w:rPr>
        <w:t>200.65</w:t>
      </w:r>
      <w:r>
        <w:rPr>
          <w:rFonts w:hint="eastAsia" w:ascii="仿宋_GB2312" w:hAnsi="仿宋_GB2312" w:eastAsia="仿宋_GB2312" w:cs="仿宋_GB2312"/>
          <w:sz w:val="32"/>
          <w:szCs w:val="32"/>
          <w:lang w:val="en-US" w:eastAsia="zh-CN"/>
        </w:rPr>
        <w:t>万元，主要包括：办公费、委托业务费。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23</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23</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2442.89</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23</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87.64</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13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9</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2098" w:right="1474" w:bottom="1984" w:left="1587" w:header="720" w:footer="720" w:gutter="0"/>
          <w:pgNumType w:fmt="numberInDash"/>
          <w:cols w:space="720" w:num="1"/>
          <w:docGrid w:type="lines" w:linePitch="312" w:charSpace="0"/>
        </w:sect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23"/>
        <w:gridCol w:w="864"/>
        <w:gridCol w:w="1012"/>
        <w:gridCol w:w="942"/>
        <w:gridCol w:w="807"/>
        <w:gridCol w:w="1430"/>
        <w:gridCol w:w="1754"/>
        <w:gridCol w:w="937"/>
        <w:gridCol w:w="944"/>
        <w:gridCol w:w="820"/>
        <w:gridCol w:w="1097"/>
        <w:gridCol w:w="164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1" w:hRule="atLeast"/>
        </w:trPr>
        <w:tc>
          <w:tcPr>
            <w:tcW w:w="5000" w:type="pct"/>
            <w:gridSpan w:val="1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18"/>
                <w:szCs w:val="18"/>
                <w:u w:val="none"/>
              </w:rPr>
            </w:pPr>
            <w:r>
              <w:rPr>
                <w:rFonts w:ascii="宋体" w:hAnsi="宋体" w:eastAsia="宋体" w:cs="宋体"/>
                <w:b/>
                <w:bCs/>
                <w:i w:val="0"/>
                <w:iCs w:val="0"/>
                <w:color w:val="000000"/>
                <w:kern w:val="0"/>
                <w:sz w:val="18"/>
                <w:szCs w:val="18"/>
                <w:u w:val="none"/>
                <w:lang w:val="en-US" w:eastAsia="zh-CN" w:bidi="ar"/>
              </w:rPr>
              <w:t>项目自评表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6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项目名称</w:t>
            </w:r>
          </w:p>
        </w:tc>
        <w:tc>
          <w:tcPr>
            <w:tcW w:w="4387" w:type="pct"/>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2024年人员经费（列入2024年预算周财预预【2009】36号139.3万】）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6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主管部门</w:t>
            </w:r>
          </w:p>
        </w:tc>
        <w:tc>
          <w:tcPr>
            <w:tcW w:w="161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河南省郸城县交通运输局</w:t>
            </w:r>
          </w:p>
        </w:tc>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实施单位</w:t>
            </w:r>
          </w:p>
        </w:tc>
        <w:tc>
          <w:tcPr>
            <w:tcW w:w="2096"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郸城县道路运输管理局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61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项目资金（万元）</w:t>
            </w: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年初预算数</w:t>
            </w:r>
          </w:p>
        </w:tc>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全年预算数</w:t>
            </w:r>
          </w:p>
        </w:tc>
        <w:tc>
          <w:tcPr>
            <w:tcW w:w="7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全年执行数</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分值</w:t>
            </w:r>
          </w:p>
        </w:tc>
        <w:tc>
          <w:tcPr>
            <w:tcW w:w="4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执行率 %</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年度资金总额（万元）：</w:t>
            </w:r>
          </w:p>
        </w:tc>
        <w:tc>
          <w:tcPr>
            <w:tcW w:w="8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139.3</w:t>
            </w:r>
          </w:p>
        </w:tc>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92.8</w:t>
            </w:r>
          </w:p>
        </w:tc>
        <w:tc>
          <w:tcPr>
            <w:tcW w:w="7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92.8</w:t>
            </w:r>
          </w:p>
        </w:tc>
        <w:tc>
          <w:tcPr>
            <w:tcW w:w="316" w:type="pct"/>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w:t>
            </w:r>
          </w:p>
        </w:tc>
        <w:tc>
          <w:tcPr>
            <w:tcW w:w="4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政府性预算资金</w:t>
            </w:r>
          </w:p>
        </w:tc>
        <w:tc>
          <w:tcPr>
            <w:tcW w:w="8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139.3</w:t>
            </w:r>
          </w:p>
        </w:tc>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92.8</w:t>
            </w:r>
          </w:p>
        </w:tc>
        <w:tc>
          <w:tcPr>
            <w:tcW w:w="7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92.8</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c>
          <w:tcPr>
            <w:tcW w:w="4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财政专户管理资金</w:t>
            </w:r>
          </w:p>
        </w:tc>
        <w:tc>
          <w:tcPr>
            <w:tcW w:w="8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w:t>
            </w:r>
          </w:p>
        </w:tc>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w:t>
            </w:r>
          </w:p>
        </w:tc>
        <w:tc>
          <w:tcPr>
            <w:tcW w:w="7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c>
          <w:tcPr>
            <w:tcW w:w="4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单位资金</w:t>
            </w:r>
          </w:p>
        </w:tc>
        <w:tc>
          <w:tcPr>
            <w:tcW w:w="8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w:t>
            </w:r>
          </w:p>
        </w:tc>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w:t>
            </w:r>
          </w:p>
        </w:tc>
        <w:tc>
          <w:tcPr>
            <w:tcW w:w="7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c>
          <w:tcPr>
            <w:tcW w:w="4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61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资金管理情况</w:t>
            </w: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2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情况说明</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分值</w:t>
            </w:r>
          </w:p>
        </w:tc>
        <w:tc>
          <w:tcPr>
            <w:tcW w:w="4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得分</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安排科学性</w:t>
            </w:r>
          </w:p>
        </w:tc>
        <w:tc>
          <w:tcPr>
            <w:tcW w:w="22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4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拨付合规性</w:t>
            </w:r>
          </w:p>
        </w:tc>
        <w:tc>
          <w:tcPr>
            <w:tcW w:w="22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4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使用规范性</w:t>
            </w:r>
          </w:p>
        </w:tc>
        <w:tc>
          <w:tcPr>
            <w:tcW w:w="22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4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9" w:hRule="atLeast"/>
        </w:trPr>
        <w:tc>
          <w:tcPr>
            <w:tcW w:w="612"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预算绩效管理情况</w:t>
            </w:r>
          </w:p>
        </w:tc>
        <w:tc>
          <w:tcPr>
            <w:tcW w:w="2263"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4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27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年度总体目标</w:t>
            </w:r>
          </w:p>
        </w:tc>
        <w:tc>
          <w:tcPr>
            <w:tcW w:w="1948"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预期目标</w:t>
            </w:r>
          </w:p>
        </w:tc>
        <w:tc>
          <w:tcPr>
            <w:tcW w:w="2772"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3" w:hRule="atLeast"/>
        </w:trPr>
        <w:tc>
          <w:tcPr>
            <w:tcW w:w="2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948"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保障单位人员工资正常发放，提高职工办公效率。</w:t>
            </w:r>
          </w:p>
        </w:tc>
        <w:tc>
          <w:tcPr>
            <w:tcW w:w="2772"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本年度，我局严格执行财政预算，确保了人员经费的按时足额发放，有效稳定了干部职工队伍，激发了工作积极性与创造性，保障了单位人员的权益。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27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绩效指标</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一级指标</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二级指标</w:t>
            </w:r>
          </w:p>
        </w:tc>
        <w:tc>
          <w:tcPr>
            <w:tcW w:w="67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三级指标</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年度指标值</w:t>
            </w:r>
          </w:p>
        </w:tc>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实际完成值</w:t>
            </w:r>
          </w:p>
        </w:tc>
        <w:tc>
          <w:tcPr>
            <w:tcW w:w="3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分值</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得分</w:t>
            </w:r>
          </w:p>
        </w:tc>
        <w:tc>
          <w:tcPr>
            <w:tcW w:w="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偏差度 %</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2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成本指标</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经济成本指标</w:t>
            </w:r>
          </w:p>
        </w:tc>
        <w:tc>
          <w:tcPr>
            <w:tcW w:w="67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总成本</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≤139.3万元</w:t>
            </w:r>
          </w:p>
        </w:tc>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92.8万元</w:t>
            </w:r>
          </w:p>
        </w:tc>
        <w:tc>
          <w:tcPr>
            <w:tcW w:w="3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w:t>
            </w:r>
          </w:p>
        </w:tc>
        <w:tc>
          <w:tcPr>
            <w:tcW w:w="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0.00%</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2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产出指标</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数量指标</w:t>
            </w:r>
          </w:p>
        </w:tc>
        <w:tc>
          <w:tcPr>
            <w:tcW w:w="67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发放人数</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≥110人</w:t>
            </w:r>
          </w:p>
        </w:tc>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110人</w:t>
            </w:r>
          </w:p>
        </w:tc>
        <w:tc>
          <w:tcPr>
            <w:tcW w:w="3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w:t>
            </w:r>
          </w:p>
        </w:tc>
        <w:tc>
          <w:tcPr>
            <w:tcW w:w="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0.00%</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2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质量指标</w:t>
            </w:r>
          </w:p>
        </w:tc>
        <w:tc>
          <w:tcPr>
            <w:tcW w:w="67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人员工资发放足额率</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3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w:t>
            </w:r>
          </w:p>
        </w:tc>
        <w:tc>
          <w:tcPr>
            <w:tcW w:w="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0.00%</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2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时效指标</w:t>
            </w:r>
          </w:p>
        </w:tc>
        <w:tc>
          <w:tcPr>
            <w:tcW w:w="67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人员工资发放及时性</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及时</w:t>
            </w:r>
          </w:p>
        </w:tc>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3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w:t>
            </w:r>
          </w:p>
        </w:tc>
        <w:tc>
          <w:tcPr>
            <w:tcW w:w="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0.00%</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2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效益指标</w:t>
            </w:r>
          </w:p>
        </w:tc>
        <w:tc>
          <w:tcPr>
            <w:tcW w:w="390" w:type="pct"/>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kern w:val="2"/>
                <w:sz w:val="18"/>
                <w:szCs w:val="18"/>
                <w:u w:val="none"/>
                <w:lang w:val="en-US" w:eastAsia="zh-CN" w:bidi="ar-SA"/>
              </w:rPr>
            </w:pPr>
            <w:r>
              <w:rPr>
                <w:rFonts w:ascii="宋体" w:hAnsi="宋体" w:eastAsia="宋体" w:cs="宋体"/>
                <w:i w:val="0"/>
                <w:iCs w:val="0"/>
                <w:color w:val="000000"/>
                <w:kern w:val="0"/>
                <w:sz w:val="18"/>
                <w:szCs w:val="18"/>
                <w:u w:val="none"/>
                <w:lang w:val="en-US" w:eastAsia="zh-CN" w:bidi="ar"/>
              </w:rPr>
              <w:t>社会效益指标</w:t>
            </w:r>
          </w:p>
        </w:tc>
        <w:tc>
          <w:tcPr>
            <w:tcW w:w="67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ascii="宋体" w:hAnsi="宋体" w:eastAsia="宋体" w:cs="宋体"/>
                <w:i w:val="0"/>
                <w:iCs w:val="0"/>
                <w:color w:val="000000"/>
                <w:kern w:val="0"/>
                <w:sz w:val="18"/>
                <w:szCs w:val="18"/>
                <w:u w:val="none"/>
                <w:lang w:val="en-US" w:eastAsia="zh-CN" w:bidi="ar"/>
              </w:rPr>
              <w:t>保障单位正常运转</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ascii="宋体" w:hAnsi="宋体" w:eastAsia="宋体" w:cs="宋体"/>
                <w:i w:val="0"/>
                <w:iCs w:val="0"/>
                <w:color w:val="000000"/>
                <w:kern w:val="0"/>
                <w:sz w:val="18"/>
                <w:szCs w:val="18"/>
                <w:u w:val="none"/>
                <w:lang w:val="en-US" w:eastAsia="zh-CN" w:bidi="ar"/>
              </w:rPr>
              <w:t>保障</w:t>
            </w:r>
          </w:p>
        </w:tc>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ascii="宋体" w:hAnsi="宋体" w:eastAsia="宋体" w:cs="宋体"/>
                <w:i w:val="0"/>
                <w:iCs w:val="0"/>
                <w:color w:val="000000"/>
                <w:kern w:val="0"/>
                <w:sz w:val="18"/>
                <w:szCs w:val="18"/>
                <w:u w:val="none"/>
                <w:lang w:val="en-US" w:eastAsia="zh-CN" w:bidi="ar"/>
              </w:rPr>
              <w:t>100%</w:t>
            </w:r>
          </w:p>
        </w:tc>
        <w:tc>
          <w:tcPr>
            <w:tcW w:w="3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ascii="宋体" w:hAnsi="宋体" w:eastAsia="宋体" w:cs="宋体"/>
                <w:i w:val="0"/>
                <w:iCs w:val="0"/>
                <w:color w:val="000000"/>
                <w:kern w:val="0"/>
                <w:sz w:val="18"/>
                <w:szCs w:val="18"/>
                <w:u w:val="none"/>
                <w:lang w:val="en-US" w:eastAsia="zh-CN" w:bidi="ar"/>
              </w:rPr>
              <w:t>10</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ascii="宋体" w:hAnsi="宋体" w:eastAsia="宋体" w:cs="宋体"/>
                <w:i w:val="0"/>
                <w:iCs w:val="0"/>
                <w:color w:val="000000"/>
                <w:kern w:val="0"/>
                <w:sz w:val="18"/>
                <w:szCs w:val="18"/>
                <w:u w:val="none"/>
                <w:lang w:val="en-US" w:eastAsia="zh-CN" w:bidi="ar"/>
              </w:rPr>
              <w:t>10</w:t>
            </w:r>
          </w:p>
        </w:tc>
        <w:tc>
          <w:tcPr>
            <w:tcW w:w="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ascii="宋体" w:hAnsi="宋体" w:eastAsia="宋体" w:cs="宋体"/>
                <w:i w:val="0"/>
                <w:iCs w:val="0"/>
                <w:color w:val="000000"/>
                <w:kern w:val="0"/>
                <w:sz w:val="18"/>
                <w:szCs w:val="18"/>
                <w:u w:val="none"/>
                <w:lang w:val="en-US" w:eastAsia="zh-CN" w:bidi="ar"/>
              </w:rPr>
              <w:t>0.00%</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2"/>
                <w:sz w:val="18"/>
                <w:szCs w:val="18"/>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2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90" w:type="pct"/>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p>
        </w:tc>
        <w:tc>
          <w:tcPr>
            <w:tcW w:w="67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kern w:val="2"/>
                <w:sz w:val="18"/>
                <w:szCs w:val="18"/>
                <w:u w:val="none"/>
                <w:lang w:val="en-US" w:eastAsia="zh-CN" w:bidi="ar-SA"/>
              </w:rPr>
            </w:pPr>
            <w:r>
              <w:rPr>
                <w:rFonts w:ascii="宋体" w:hAnsi="宋体" w:eastAsia="宋体" w:cs="宋体"/>
                <w:i w:val="0"/>
                <w:iCs w:val="0"/>
                <w:color w:val="000000"/>
                <w:kern w:val="0"/>
                <w:sz w:val="18"/>
                <w:szCs w:val="18"/>
                <w:u w:val="none"/>
                <w:lang w:val="en-US" w:eastAsia="zh-CN" w:bidi="ar"/>
              </w:rPr>
              <w:t>提高职工办公效率</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kern w:val="2"/>
                <w:sz w:val="18"/>
                <w:szCs w:val="18"/>
                <w:u w:val="none"/>
                <w:lang w:val="en-US" w:eastAsia="zh-CN" w:bidi="ar-SA"/>
              </w:rPr>
            </w:pPr>
            <w:r>
              <w:rPr>
                <w:rFonts w:ascii="宋体" w:hAnsi="宋体" w:eastAsia="宋体" w:cs="宋体"/>
                <w:i w:val="0"/>
                <w:iCs w:val="0"/>
                <w:color w:val="000000"/>
                <w:kern w:val="0"/>
                <w:sz w:val="18"/>
                <w:szCs w:val="18"/>
                <w:u w:val="none"/>
                <w:lang w:val="en-US" w:eastAsia="zh-CN" w:bidi="ar"/>
              </w:rPr>
              <w:t>提高</w:t>
            </w:r>
          </w:p>
        </w:tc>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kern w:val="2"/>
                <w:sz w:val="18"/>
                <w:szCs w:val="18"/>
                <w:u w:val="none"/>
                <w:lang w:val="en-US" w:eastAsia="zh-CN" w:bidi="ar-SA"/>
              </w:rPr>
            </w:pPr>
            <w:r>
              <w:rPr>
                <w:rFonts w:ascii="宋体" w:hAnsi="宋体" w:eastAsia="宋体" w:cs="宋体"/>
                <w:i w:val="0"/>
                <w:iCs w:val="0"/>
                <w:color w:val="000000"/>
                <w:kern w:val="0"/>
                <w:sz w:val="18"/>
                <w:szCs w:val="18"/>
                <w:u w:val="none"/>
                <w:lang w:val="en-US" w:eastAsia="zh-CN" w:bidi="ar"/>
              </w:rPr>
              <w:t>100%</w:t>
            </w:r>
          </w:p>
        </w:tc>
        <w:tc>
          <w:tcPr>
            <w:tcW w:w="3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kern w:val="2"/>
                <w:sz w:val="18"/>
                <w:szCs w:val="18"/>
                <w:u w:val="none"/>
                <w:lang w:val="en-US" w:eastAsia="zh-CN" w:bidi="ar-SA"/>
              </w:rPr>
            </w:pPr>
            <w:r>
              <w:rPr>
                <w:rFonts w:ascii="宋体" w:hAnsi="宋体" w:eastAsia="宋体" w:cs="宋体"/>
                <w:i w:val="0"/>
                <w:iCs w:val="0"/>
                <w:color w:val="000000"/>
                <w:kern w:val="0"/>
                <w:sz w:val="18"/>
                <w:szCs w:val="18"/>
                <w:u w:val="none"/>
                <w:lang w:val="en-US" w:eastAsia="zh-CN" w:bidi="ar"/>
              </w:rPr>
              <w:t>15</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kern w:val="2"/>
                <w:sz w:val="18"/>
                <w:szCs w:val="18"/>
                <w:u w:val="none"/>
                <w:lang w:val="en-US" w:eastAsia="zh-CN" w:bidi="ar-SA"/>
              </w:rPr>
            </w:pPr>
            <w:r>
              <w:rPr>
                <w:rFonts w:ascii="宋体" w:hAnsi="宋体" w:eastAsia="宋体" w:cs="宋体"/>
                <w:i w:val="0"/>
                <w:iCs w:val="0"/>
                <w:color w:val="000000"/>
                <w:kern w:val="0"/>
                <w:sz w:val="18"/>
                <w:szCs w:val="18"/>
                <w:u w:val="none"/>
                <w:lang w:val="en-US" w:eastAsia="zh-CN" w:bidi="ar"/>
              </w:rPr>
              <w:t>15</w:t>
            </w:r>
          </w:p>
        </w:tc>
        <w:tc>
          <w:tcPr>
            <w:tcW w:w="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kern w:val="2"/>
                <w:sz w:val="18"/>
                <w:szCs w:val="18"/>
                <w:u w:val="none"/>
                <w:lang w:val="en-US" w:eastAsia="zh-CN" w:bidi="ar-SA"/>
              </w:rPr>
            </w:pPr>
            <w:r>
              <w:rPr>
                <w:rFonts w:ascii="宋体" w:hAnsi="宋体" w:eastAsia="宋体" w:cs="宋体"/>
                <w:i w:val="0"/>
                <w:iCs w:val="0"/>
                <w:color w:val="000000"/>
                <w:kern w:val="0"/>
                <w:sz w:val="18"/>
                <w:szCs w:val="18"/>
                <w:u w:val="none"/>
                <w:lang w:val="en-US" w:eastAsia="zh-CN" w:bidi="ar"/>
              </w:rPr>
              <w:t>0.00%</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2"/>
                <w:sz w:val="18"/>
                <w:szCs w:val="18"/>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满意度指标</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服务对象满意度指标</w:t>
            </w:r>
          </w:p>
        </w:tc>
        <w:tc>
          <w:tcPr>
            <w:tcW w:w="67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职工满意度</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≥90%</w:t>
            </w:r>
          </w:p>
        </w:tc>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90%</w:t>
            </w:r>
          </w:p>
        </w:tc>
        <w:tc>
          <w:tcPr>
            <w:tcW w:w="3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w:t>
            </w:r>
          </w:p>
        </w:tc>
        <w:tc>
          <w:tcPr>
            <w:tcW w:w="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0.00%</w:t>
            </w: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27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624"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总分</w:t>
            </w:r>
          </w:p>
        </w:tc>
        <w:tc>
          <w:tcPr>
            <w:tcW w:w="3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3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6838" w:h="11906" w:orient="landscape"/>
          <w:pgMar w:top="1587" w:right="2098" w:bottom="1474" w:left="1984" w:header="720" w:footer="720" w:gutter="0"/>
          <w:pgNumType w:fmt="numberInDash"/>
          <w:cols w:space="720" w:num="1"/>
          <w:docGrid w:type="lines" w:linePitch="312"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河南省郸城县交通运输局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我单位2024年度未开展预算项目重点绩效评价，财政部门也未选取我单位2024年度预算项目开展财政重点评价。</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val="0"/>
        <w:numPr>
          <w:numId w:val="0"/>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1"/>
      <w:numFmt w:val="chineseCounting"/>
      <w:suff w:val="nothing"/>
      <w:lvlText w:val="%1、"/>
      <w:lvlJc w:val="left"/>
    </w:lvl>
  </w:abstractNum>
  <w:abstractNum w:abstractNumId="1">
    <w:nsid w:val="2A7713CB"/>
    <w:multiLevelType w:val="singleLevel"/>
    <w:tmpl w:val="2A7713CB"/>
    <w:lvl w:ilvl="0" w:tentative="0">
      <w:start w:val="4"/>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E736B3"/>
    <w:rsid w:val="28A642BC"/>
    <w:rsid w:val="DFFB21A2"/>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qFormat/>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29</Pages>
  <Words>1021</Words>
  <Characters>1090</Characters>
  <Lines>70</Lines>
  <Paragraphs>19</Paragraphs>
  <TotalTime>14</TotalTime>
  <ScaleCrop>false</ScaleCrop>
  <LinksUpToDate>false</LinksUpToDate>
  <CharactersWithSpaces>1118</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2025-12-03T17:12:37Z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eyJoZGlkIjoiNzA4N2M4Y2Y5NDYxMjcxNzEzNDkyMDBjMmE5ZTcwYzQiLCJ1c2VySWQiOiI0OTExNTk5ODQifQ==</vt:lpwstr>
  </property>
  <property fmtid="{D5CDD505-2E9C-101B-9397-08002B2CF9AE}" pid="4" name="ICV">
    <vt:lpwstr>22C84DA9F1E3DB1305FF2F6965592308</vt:lpwstr>
  </property>
</Properties>
</file>