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郸城县第二实验小学单位决算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郸城县第二实验小学概况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郸城县第二实验小学概况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负责贯彻党的教育方针，执行上级主管部门的指示和决定，对学生实施体、智、德、美诸方面全面发展的教育，促进其身心和谐发展，为家长接触后顾之忧，履行教育工作使命。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1.负责制定学校教育发展规划，并抓好组织实施和落实工作。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2.负责按照教育主管部门发布的指导性教学规划，教学大纲，组织实施教育教学活动。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3.组织开展本校的教育教学科研和教育教学改革，科研兴教，科研兴校。负责对本校教育教学业务的具体管理，负责教育教学管理及教研教改工作，全力推进素质教育实施。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4.按照干部和教师的职数、编制和管理权限，负责本校教师人事管理、继续教育、考核考评等工作。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本部门内设机构包括:校务服务中心、学生发展中心、后勤服务中心、教师发展中心、1-6年级年级组办公室，技能科办公室。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从决算单位构成看，郸城县第二实验小学单位决算无独立核算的下属单位。本级决算为单位决算。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单位：郸城县第二实验小学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2,874.00</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2,809.63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40.05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18.16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6.16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2,874.00</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2,874.00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2,874.00</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2,874.00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单位：郸城县第二实验小学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2,874.00</w:t>
            </w:r>
          </w:p>
        </w:tc>
        <w:tc>
          <w:tcPr>
            <w:tcW w:w="820" w:type="dxa"/>
            <w:vAlign w:val="center"/>
          </w:tcPr>
          <w:p>
            <w:pPr>
              <w:snapToGrid w:val="0"/>
              <w:jc w:val="right"/>
            </w:pPr>
            <w:r>
              <w:rPr>
                <w:rFonts w:ascii="宋体" w:hAnsi="宋体" w:eastAsia="宋体" w:cs="宋体"/>
                <w:b w:val="0"/>
                <w:i w:val="0"/>
                <w:color w:val="000000"/>
                <w:sz w:val="11"/>
              </w:rPr>
              <w:t>2,874.00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2,809.63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40.05</w:t>
            </w:r>
          </w:p>
        </w:tc>
        <w:tc>
          <w:tcPr>
            <w:tcW w:w="820" w:type="dxa"/>
            <w:vAlign w:val="center"/>
          </w:tcPr>
          <w:p>
            <w:pPr>
              <w:snapToGrid w:val="0"/>
              <w:jc w:val="right"/>
            </w:pPr>
            <w:r>
              <w:rPr>
                <w:rFonts w:ascii="宋体" w:hAnsi="宋体" w:eastAsia="宋体" w:cs="宋体"/>
                <w:b w:val="0"/>
                <w:i w:val="0"/>
                <w:color w:val="000000"/>
                <w:sz w:val="11"/>
              </w:rPr>
              <w:t>40.05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38.85</w:t>
            </w:r>
          </w:p>
        </w:tc>
        <w:tc>
          <w:tcPr>
            <w:tcW w:w="820" w:type="dxa"/>
            <w:vAlign w:val="center"/>
          </w:tcPr>
          <w:p>
            <w:pPr>
              <w:snapToGrid w:val="0"/>
              <w:jc w:val="right"/>
            </w:pPr>
            <w:r>
              <w:rPr>
                <w:rFonts w:ascii="宋体" w:hAnsi="宋体" w:eastAsia="宋体" w:cs="宋体"/>
                <w:b w:val="0"/>
                <w:i w:val="0"/>
                <w:color w:val="000000"/>
                <w:sz w:val="11"/>
              </w:rPr>
              <w:t>38.85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38.85</w:t>
            </w:r>
          </w:p>
        </w:tc>
        <w:tc>
          <w:tcPr>
            <w:tcW w:w="820" w:type="dxa"/>
            <w:vAlign w:val="center"/>
          </w:tcPr>
          <w:p>
            <w:pPr>
              <w:snapToGrid w:val="0"/>
              <w:jc w:val="right"/>
            </w:pPr>
            <w:r>
              <w:rPr>
                <w:rFonts w:ascii="宋体" w:hAnsi="宋体" w:eastAsia="宋体" w:cs="宋体"/>
                <w:b w:val="0"/>
                <w:i w:val="0"/>
                <w:color w:val="000000"/>
                <w:sz w:val="11"/>
              </w:rPr>
              <w:t>38.85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1.19</w:t>
            </w:r>
          </w:p>
        </w:tc>
        <w:tc>
          <w:tcPr>
            <w:tcW w:w="820" w:type="dxa"/>
            <w:vAlign w:val="center"/>
          </w:tcPr>
          <w:p>
            <w:pPr>
              <w:snapToGrid w:val="0"/>
              <w:jc w:val="right"/>
            </w:pPr>
            <w:r>
              <w:rPr>
                <w:rFonts w:ascii="宋体" w:hAnsi="宋体" w:eastAsia="宋体" w:cs="宋体"/>
                <w:b w:val="0"/>
                <w:i w:val="0"/>
                <w:color w:val="000000"/>
                <w:sz w:val="11"/>
              </w:rPr>
              <w:t>1.19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1.19</w:t>
            </w:r>
          </w:p>
        </w:tc>
        <w:tc>
          <w:tcPr>
            <w:tcW w:w="820" w:type="dxa"/>
            <w:vAlign w:val="center"/>
          </w:tcPr>
          <w:p>
            <w:pPr>
              <w:snapToGrid w:val="0"/>
              <w:jc w:val="right"/>
            </w:pPr>
            <w:r>
              <w:rPr>
                <w:rFonts w:ascii="宋体" w:hAnsi="宋体" w:eastAsia="宋体" w:cs="宋体"/>
                <w:b w:val="0"/>
                <w:i w:val="0"/>
                <w:color w:val="000000"/>
                <w:sz w:val="11"/>
              </w:rPr>
              <w:t>1.19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18.16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6.16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单位：郸城县第二实验小学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2,874.00</w:t>
            </w:r>
          </w:p>
        </w:tc>
        <w:tc>
          <w:tcPr>
            <w:tcW w:w="900" w:type="dxa"/>
            <w:vAlign w:val="center"/>
          </w:tcPr>
          <w:p>
            <w:pPr>
              <w:snapToGrid w:val="0"/>
              <w:jc w:val="right"/>
            </w:pPr>
            <w:r>
              <w:rPr>
                <w:rFonts w:ascii="宋体" w:hAnsi="宋体" w:eastAsia="宋体" w:cs="宋体"/>
                <w:b w:val="0"/>
                <w:i w:val="0"/>
                <w:color w:val="000000"/>
                <w:sz w:val="11"/>
              </w:rPr>
              <w:t>2,874.00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2,809.63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40.05</w:t>
            </w:r>
          </w:p>
        </w:tc>
        <w:tc>
          <w:tcPr>
            <w:tcW w:w="900" w:type="dxa"/>
            <w:vAlign w:val="center"/>
          </w:tcPr>
          <w:p>
            <w:pPr>
              <w:snapToGrid w:val="0"/>
              <w:jc w:val="right"/>
            </w:pPr>
            <w:r>
              <w:rPr>
                <w:rFonts w:ascii="宋体" w:hAnsi="宋体" w:eastAsia="宋体" w:cs="宋体"/>
                <w:b w:val="0"/>
                <w:i w:val="0"/>
                <w:color w:val="000000"/>
                <w:sz w:val="11"/>
              </w:rPr>
              <w:t>40.05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38.85</w:t>
            </w:r>
          </w:p>
        </w:tc>
        <w:tc>
          <w:tcPr>
            <w:tcW w:w="900" w:type="dxa"/>
            <w:vAlign w:val="center"/>
          </w:tcPr>
          <w:p>
            <w:pPr>
              <w:snapToGrid w:val="0"/>
              <w:jc w:val="right"/>
            </w:pPr>
            <w:r>
              <w:rPr>
                <w:rFonts w:ascii="宋体" w:hAnsi="宋体" w:eastAsia="宋体" w:cs="宋体"/>
                <w:b w:val="0"/>
                <w:i w:val="0"/>
                <w:color w:val="000000"/>
                <w:sz w:val="11"/>
              </w:rPr>
              <w:t>38.85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38.85</w:t>
            </w:r>
          </w:p>
        </w:tc>
        <w:tc>
          <w:tcPr>
            <w:tcW w:w="900" w:type="dxa"/>
            <w:vAlign w:val="center"/>
          </w:tcPr>
          <w:p>
            <w:pPr>
              <w:snapToGrid w:val="0"/>
              <w:jc w:val="right"/>
            </w:pPr>
            <w:r>
              <w:rPr>
                <w:rFonts w:ascii="宋体" w:hAnsi="宋体" w:eastAsia="宋体" w:cs="宋体"/>
                <w:b w:val="0"/>
                <w:i w:val="0"/>
                <w:color w:val="000000"/>
                <w:sz w:val="11"/>
              </w:rPr>
              <w:t>38.85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1.19</w:t>
            </w:r>
          </w:p>
        </w:tc>
        <w:tc>
          <w:tcPr>
            <w:tcW w:w="900" w:type="dxa"/>
            <w:vAlign w:val="center"/>
          </w:tcPr>
          <w:p>
            <w:pPr>
              <w:snapToGrid w:val="0"/>
              <w:jc w:val="right"/>
            </w:pPr>
            <w:r>
              <w:rPr>
                <w:rFonts w:ascii="宋体" w:hAnsi="宋体" w:eastAsia="宋体" w:cs="宋体"/>
                <w:b w:val="0"/>
                <w:i w:val="0"/>
                <w:color w:val="000000"/>
                <w:sz w:val="11"/>
              </w:rPr>
              <w:t>1.19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1.19</w:t>
            </w:r>
          </w:p>
        </w:tc>
        <w:tc>
          <w:tcPr>
            <w:tcW w:w="900" w:type="dxa"/>
            <w:vAlign w:val="center"/>
          </w:tcPr>
          <w:p>
            <w:pPr>
              <w:snapToGrid w:val="0"/>
              <w:jc w:val="right"/>
            </w:pPr>
            <w:r>
              <w:rPr>
                <w:rFonts w:ascii="宋体" w:hAnsi="宋体" w:eastAsia="宋体" w:cs="宋体"/>
                <w:b w:val="0"/>
                <w:i w:val="0"/>
                <w:color w:val="000000"/>
                <w:sz w:val="11"/>
              </w:rPr>
              <w:t>1.19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18.16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6.16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单位：郸城县第二实验小学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2,874.00</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2,809.63</w:t>
            </w:r>
          </w:p>
        </w:tc>
        <w:tc>
          <w:tcPr>
            <w:tcW w:w="1300" w:type="dxa"/>
            <w:vAlign w:val="center"/>
          </w:tcPr>
          <w:p>
            <w:pPr>
              <w:snapToGrid w:val="0"/>
              <w:jc w:val="right"/>
            </w:pPr>
            <w:r>
              <w:rPr>
                <w:rFonts w:ascii="宋体" w:hAnsi="宋体" w:eastAsia="宋体" w:cs="宋体"/>
                <w:b w:val="0"/>
                <w:i w:val="0"/>
                <w:color w:val="000000"/>
                <w:sz w:val="11"/>
              </w:rPr>
              <w:t>2,809.63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40.05</w:t>
            </w:r>
          </w:p>
        </w:tc>
        <w:tc>
          <w:tcPr>
            <w:tcW w:w="1300" w:type="dxa"/>
            <w:vAlign w:val="center"/>
          </w:tcPr>
          <w:p>
            <w:pPr>
              <w:snapToGrid w:val="0"/>
              <w:jc w:val="right"/>
            </w:pPr>
            <w:r>
              <w:rPr>
                <w:rFonts w:ascii="宋体" w:hAnsi="宋体" w:eastAsia="宋体" w:cs="宋体"/>
                <w:b w:val="0"/>
                <w:i w:val="0"/>
                <w:color w:val="000000"/>
                <w:sz w:val="11"/>
              </w:rPr>
              <w:t>40.05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18.16</w:t>
            </w:r>
          </w:p>
        </w:tc>
        <w:tc>
          <w:tcPr>
            <w:tcW w:w="1300" w:type="dxa"/>
            <w:vAlign w:val="center"/>
          </w:tcPr>
          <w:p>
            <w:pPr>
              <w:snapToGrid w:val="0"/>
              <w:jc w:val="right"/>
            </w:pPr>
            <w:r>
              <w:rPr>
                <w:rFonts w:ascii="宋体" w:hAnsi="宋体" w:eastAsia="宋体" w:cs="宋体"/>
                <w:b w:val="0"/>
                <w:i w:val="0"/>
                <w:color w:val="000000"/>
                <w:sz w:val="11"/>
              </w:rPr>
              <w:t>18.16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6.16</w:t>
            </w:r>
          </w:p>
        </w:tc>
        <w:tc>
          <w:tcPr>
            <w:tcW w:w="1300" w:type="dxa"/>
            <w:vAlign w:val="center"/>
          </w:tcPr>
          <w:p>
            <w:pPr>
              <w:snapToGrid w:val="0"/>
              <w:jc w:val="right"/>
            </w:pPr>
            <w:r>
              <w:rPr>
                <w:rFonts w:ascii="宋体" w:hAnsi="宋体" w:eastAsia="宋体" w:cs="宋体"/>
                <w:b w:val="0"/>
                <w:i w:val="0"/>
                <w:color w:val="000000"/>
                <w:sz w:val="11"/>
              </w:rPr>
              <w:t>6.16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2,874.00</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2,874.00</w:t>
            </w:r>
          </w:p>
        </w:tc>
        <w:tc>
          <w:tcPr>
            <w:tcW w:w="1300" w:type="dxa"/>
            <w:vAlign w:val="center"/>
          </w:tcPr>
          <w:p>
            <w:pPr>
              <w:snapToGrid w:val="0"/>
              <w:jc w:val="right"/>
            </w:pPr>
            <w:r>
              <w:rPr>
                <w:rFonts w:ascii="宋体" w:hAnsi="宋体" w:eastAsia="宋体" w:cs="宋体"/>
                <w:b w:val="0"/>
                <w:i w:val="0"/>
                <w:color w:val="000000"/>
                <w:sz w:val="11"/>
              </w:rPr>
              <w:t>2,874.00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2,874.00</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2,874.00</w:t>
            </w:r>
          </w:p>
        </w:tc>
        <w:tc>
          <w:tcPr>
            <w:tcW w:w="1300" w:type="dxa"/>
            <w:vAlign w:val="center"/>
          </w:tcPr>
          <w:p>
            <w:pPr>
              <w:snapToGrid w:val="0"/>
              <w:jc w:val="right"/>
            </w:pPr>
            <w:r>
              <w:rPr>
                <w:rFonts w:ascii="宋体" w:hAnsi="宋体" w:eastAsia="宋体" w:cs="宋体"/>
                <w:b w:val="0"/>
                <w:i w:val="0"/>
                <w:color w:val="000000"/>
                <w:sz w:val="11"/>
              </w:rPr>
              <w:t>2,874.00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单位：郸城县第二实验小学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2,874.00</w:t>
            </w:r>
          </w:p>
        </w:tc>
        <w:tc>
          <w:tcPr>
            <w:tcW w:w="1440" w:type="dxa"/>
            <w:vAlign w:val="center"/>
          </w:tcPr>
          <w:p>
            <w:pPr>
              <w:snapToGrid w:val="0"/>
              <w:jc w:val="right"/>
            </w:pPr>
            <w:r>
              <w:rPr>
                <w:rFonts w:ascii="宋体" w:hAnsi="宋体" w:eastAsia="宋体" w:cs="宋体"/>
                <w:b w:val="0"/>
                <w:i w:val="0"/>
                <w:color w:val="000000"/>
                <w:sz w:val="13"/>
              </w:rPr>
              <w:t>2,874.00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2,809.63</w:t>
            </w:r>
          </w:p>
        </w:tc>
        <w:tc>
          <w:tcPr>
            <w:tcW w:w="1440" w:type="dxa"/>
            <w:vAlign w:val="center"/>
          </w:tcPr>
          <w:p>
            <w:pPr>
              <w:snapToGrid w:val="0"/>
              <w:jc w:val="right"/>
            </w:pPr>
            <w:r>
              <w:rPr>
                <w:rFonts w:ascii="宋体" w:hAnsi="宋体" w:eastAsia="宋体" w:cs="宋体"/>
                <w:b w:val="0"/>
                <w:i w:val="0"/>
                <w:color w:val="000000"/>
                <w:sz w:val="13"/>
              </w:rPr>
              <w:t>2,809.63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2,809.63</w:t>
            </w:r>
          </w:p>
        </w:tc>
        <w:tc>
          <w:tcPr>
            <w:tcW w:w="1440" w:type="dxa"/>
            <w:vAlign w:val="center"/>
          </w:tcPr>
          <w:p>
            <w:pPr>
              <w:snapToGrid w:val="0"/>
              <w:jc w:val="right"/>
            </w:pPr>
            <w:r>
              <w:rPr>
                <w:rFonts w:ascii="宋体" w:hAnsi="宋体" w:eastAsia="宋体" w:cs="宋体"/>
                <w:b w:val="0"/>
                <w:i w:val="0"/>
                <w:color w:val="000000"/>
                <w:sz w:val="13"/>
              </w:rPr>
              <w:t>2,809.63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2,809.63</w:t>
            </w:r>
          </w:p>
        </w:tc>
        <w:tc>
          <w:tcPr>
            <w:tcW w:w="1440" w:type="dxa"/>
            <w:vAlign w:val="center"/>
          </w:tcPr>
          <w:p>
            <w:pPr>
              <w:snapToGrid w:val="0"/>
              <w:jc w:val="right"/>
            </w:pPr>
            <w:r>
              <w:rPr>
                <w:rFonts w:ascii="宋体" w:hAnsi="宋体" w:eastAsia="宋体" w:cs="宋体"/>
                <w:b w:val="0"/>
                <w:i w:val="0"/>
                <w:color w:val="000000"/>
                <w:sz w:val="13"/>
              </w:rPr>
              <w:t>2,809.63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40.05</w:t>
            </w:r>
          </w:p>
        </w:tc>
        <w:tc>
          <w:tcPr>
            <w:tcW w:w="1440" w:type="dxa"/>
            <w:vAlign w:val="center"/>
          </w:tcPr>
          <w:p>
            <w:pPr>
              <w:snapToGrid w:val="0"/>
              <w:jc w:val="right"/>
            </w:pPr>
            <w:r>
              <w:rPr>
                <w:rFonts w:ascii="宋体" w:hAnsi="宋体" w:eastAsia="宋体" w:cs="宋体"/>
                <w:b w:val="0"/>
                <w:i w:val="0"/>
                <w:color w:val="000000"/>
                <w:sz w:val="13"/>
              </w:rPr>
              <w:t>40.05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38.85</w:t>
            </w:r>
          </w:p>
        </w:tc>
        <w:tc>
          <w:tcPr>
            <w:tcW w:w="1440" w:type="dxa"/>
            <w:vAlign w:val="center"/>
          </w:tcPr>
          <w:p>
            <w:pPr>
              <w:snapToGrid w:val="0"/>
              <w:jc w:val="right"/>
            </w:pPr>
            <w:r>
              <w:rPr>
                <w:rFonts w:ascii="宋体" w:hAnsi="宋体" w:eastAsia="宋体" w:cs="宋体"/>
                <w:b w:val="0"/>
                <w:i w:val="0"/>
                <w:color w:val="000000"/>
                <w:sz w:val="13"/>
              </w:rPr>
              <w:t>38.85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38.85</w:t>
            </w:r>
          </w:p>
        </w:tc>
        <w:tc>
          <w:tcPr>
            <w:tcW w:w="1440" w:type="dxa"/>
            <w:vAlign w:val="center"/>
          </w:tcPr>
          <w:p>
            <w:pPr>
              <w:snapToGrid w:val="0"/>
              <w:jc w:val="right"/>
            </w:pPr>
            <w:r>
              <w:rPr>
                <w:rFonts w:ascii="宋体" w:hAnsi="宋体" w:eastAsia="宋体" w:cs="宋体"/>
                <w:b w:val="0"/>
                <w:i w:val="0"/>
                <w:color w:val="000000"/>
                <w:sz w:val="13"/>
              </w:rPr>
              <w:t>38.85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1.19</w:t>
            </w:r>
          </w:p>
        </w:tc>
        <w:tc>
          <w:tcPr>
            <w:tcW w:w="1440" w:type="dxa"/>
            <w:vAlign w:val="center"/>
          </w:tcPr>
          <w:p>
            <w:pPr>
              <w:snapToGrid w:val="0"/>
              <w:jc w:val="right"/>
            </w:pPr>
            <w:r>
              <w:rPr>
                <w:rFonts w:ascii="宋体" w:hAnsi="宋体" w:eastAsia="宋体" w:cs="宋体"/>
                <w:b w:val="0"/>
                <w:i w:val="0"/>
                <w:color w:val="000000"/>
                <w:sz w:val="13"/>
              </w:rPr>
              <w:t>1.19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1.19</w:t>
            </w:r>
          </w:p>
        </w:tc>
        <w:tc>
          <w:tcPr>
            <w:tcW w:w="1440" w:type="dxa"/>
            <w:vAlign w:val="center"/>
          </w:tcPr>
          <w:p>
            <w:pPr>
              <w:snapToGrid w:val="0"/>
              <w:jc w:val="right"/>
            </w:pPr>
            <w:r>
              <w:rPr>
                <w:rFonts w:ascii="宋体" w:hAnsi="宋体" w:eastAsia="宋体" w:cs="宋体"/>
                <w:b w:val="0"/>
                <w:i w:val="0"/>
                <w:color w:val="000000"/>
                <w:sz w:val="13"/>
              </w:rPr>
              <w:t>1.19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18.16</w:t>
            </w:r>
          </w:p>
        </w:tc>
        <w:tc>
          <w:tcPr>
            <w:tcW w:w="1440" w:type="dxa"/>
            <w:vAlign w:val="center"/>
          </w:tcPr>
          <w:p>
            <w:pPr>
              <w:snapToGrid w:val="0"/>
              <w:jc w:val="right"/>
            </w:pPr>
            <w:r>
              <w:rPr>
                <w:rFonts w:ascii="宋体" w:hAnsi="宋体" w:eastAsia="宋体" w:cs="宋体"/>
                <w:b w:val="0"/>
                <w:i w:val="0"/>
                <w:color w:val="000000"/>
                <w:sz w:val="13"/>
              </w:rPr>
              <w:t>18.16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18.16</w:t>
            </w:r>
          </w:p>
        </w:tc>
        <w:tc>
          <w:tcPr>
            <w:tcW w:w="1440" w:type="dxa"/>
            <w:vAlign w:val="center"/>
          </w:tcPr>
          <w:p>
            <w:pPr>
              <w:snapToGrid w:val="0"/>
              <w:jc w:val="right"/>
            </w:pPr>
            <w:r>
              <w:rPr>
                <w:rFonts w:ascii="宋体" w:hAnsi="宋体" w:eastAsia="宋体" w:cs="宋体"/>
                <w:b w:val="0"/>
                <w:i w:val="0"/>
                <w:color w:val="000000"/>
                <w:sz w:val="13"/>
              </w:rPr>
              <w:t>18.16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18.16</w:t>
            </w:r>
          </w:p>
        </w:tc>
        <w:tc>
          <w:tcPr>
            <w:tcW w:w="1440" w:type="dxa"/>
            <w:vAlign w:val="center"/>
          </w:tcPr>
          <w:p>
            <w:pPr>
              <w:snapToGrid w:val="0"/>
              <w:jc w:val="right"/>
            </w:pPr>
            <w:r>
              <w:rPr>
                <w:rFonts w:ascii="宋体" w:hAnsi="宋体" w:eastAsia="宋体" w:cs="宋体"/>
                <w:b w:val="0"/>
                <w:i w:val="0"/>
                <w:color w:val="000000"/>
                <w:sz w:val="13"/>
              </w:rPr>
              <w:t>18.16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6.16</w:t>
            </w:r>
          </w:p>
        </w:tc>
        <w:tc>
          <w:tcPr>
            <w:tcW w:w="1440" w:type="dxa"/>
            <w:vAlign w:val="center"/>
          </w:tcPr>
          <w:p>
            <w:pPr>
              <w:snapToGrid w:val="0"/>
              <w:jc w:val="right"/>
            </w:pPr>
            <w:r>
              <w:rPr>
                <w:rFonts w:ascii="宋体" w:hAnsi="宋体" w:eastAsia="宋体" w:cs="宋体"/>
                <w:b w:val="0"/>
                <w:i w:val="0"/>
                <w:color w:val="000000"/>
                <w:sz w:val="13"/>
              </w:rPr>
              <w:t>6.16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6.16</w:t>
            </w:r>
          </w:p>
        </w:tc>
        <w:tc>
          <w:tcPr>
            <w:tcW w:w="1440" w:type="dxa"/>
            <w:vAlign w:val="center"/>
          </w:tcPr>
          <w:p>
            <w:pPr>
              <w:snapToGrid w:val="0"/>
              <w:jc w:val="right"/>
            </w:pPr>
            <w:r>
              <w:rPr>
                <w:rFonts w:ascii="宋体" w:hAnsi="宋体" w:eastAsia="宋体" w:cs="宋体"/>
                <w:b w:val="0"/>
                <w:i w:val="0"/>
                <w:color w:val="000000"/>
                <w:sz w:val="13"/>
              </w:rPr>
              <w:t>6.16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6.16</w:t>
            </w:r>
          </w:p>
        </w:tc>
        <w:tc>
          <w:tcPr>
            <w:tcW w:w="1440" w:type="dxa"/>
            <w:vAlign w:val="center"/>
          </w:tcPr>
          <w:p>
            <w:pPr>
              <w:snapToGrid w:val="0"/>
              <w:jc w:val="right"/>
            </w:pPr>
            <w:r>
              <w:rPr>
                <w:rFonts w:ascii="宋体" w:hAnsi="宋体" w:eastAsia="宋体" w:cs="宋体"/>
                <w:b w:val="0"/>
                <w:i w:val="0"/>
                <w:color w:val="000000"/>
                <w:sz w:val="13"/>
              </w:rPr>
              <w:t>6.16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单位：郸城县第二实验小学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1,991.55</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882.45</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1,485.44</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571.83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332.49</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4.43</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109.25</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11.80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38.85</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27.58</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2.09</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18.16</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27.94</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1.19</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6.16</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38.60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13.26</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24.57</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107.67</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35.89</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0.50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16.29</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1,991.55</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882.45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单位：郸城县第二实验小学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单位：郸城县第二实验小学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单位：郸城县第二实验小学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2874.00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与上年度相比，收、支总计各增加1966.74万元，增长216.78%，主要原因是单位人员增加。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2874.00</w:t>
      </w:r>
      <w:r>
        <w:rPr>
          <w:rFonts w:hint="eastAsia" w:ascii="仿宋_GB2312" w:hAnsi="仿宋_GB2312" w:eastAsia="仿宋_GB2312" w:cs="仿宋_GB2312"/>
          <w:sz w:val="32"/>
          <w:szCs w:val="32"/>
          <w:lang w:val="en-US" w:eastAsia="zh-CN"/>
        </w:rPr>
        <w:t>万元，其中：财政拨款收入2874.00万元，占100.00%。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2874.00</w:t>
      </w:r>
      <w:r>
        <w:rPr>
          <w:rFonts w:hint="eastAsia" w:ascii="仿宋_GB2312" w:hAnsi="仿宋_GB2312" w:eastAsia="仿宋_GB2312" w:cs="仿宋_GB2312"/>
          <w:sz w:val="32"/>
          <w:szCs w:val="32"/>
          <w:lang w:val="en-US" w:eastAsia="zh-CN"/>
        </w:rPr>
        <w:t>万元，其中：基本支出2874.00万元，占100.00%。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2874.00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与上年度相比，财政拨款收、支总计各增加1966.74万元，增长216.78%，主要原因是单位人员增加。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2024年度一般公共预算财政拨款支出2874.00万元，占支出合计的100.00%。与上年度相比，一般公共预算财政拨款支出增加1966.74万元，增长216.78%，主要原因是单位人员增加。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2874.00万元，主要用于以下方面：教育（类）支出2809.63万元，占97.76%;社会保障和就业（类）支出40.05万元，占1.39%;卫生健康（类）支出18.16万元，占0.63%;住房保障（类）支出6.16万元，占0.21%。</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2874.00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2874.00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859.69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2809.63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，完成年初预算的326.82%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年初预算只预算了人员工资，学生经费和学生资助资金未在本单位预算，支出在本单位。</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122.79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38.85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，完成年初预算的31.64%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单位人员调整，机关事业单位基本养老保险缴费支出在原单位支出。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单位人员调整，其他社会保障和就业支出在原单位支出。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49.11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，完成年初预算的36.98%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单位人员调整，事业单位医疗费在原单位支出。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61.39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单位人员调整，住房公积金在原单位支出。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2874.00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1991.55</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882.45</w:t>
      </w:r>
      <w:r>
        <w:rPr>
          <w:rFonts w:hint="eastAsia" w:ascii="仿宋_GB2312" w:hAnsi="仿宋_GB2312" w:eastAsia="仿宋_GB2312" w:cs="仿宋_GB2312"/>
          <w:sz w:val="32"/>
          <w:szCs w:val="32"/>
          <w:lang w:val="en-US" w:eastAsia="zh-CN"/>
        </w:rPr>
        <w:t>万元，主要包括：办公费、印刷费、水费、电费、邮电费、物业管理费、维修（护）费、租赁费、培训费、专用材料费、劳务费、委托业务费、其他商品和服务支出。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96.90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750516"/>
    <w:multiLevelType w:val="singleLevel"/>
    <w:tmpl w:val="9F750516"/>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BFFF0B0A"/>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2025-12-01T09:41:39Z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76ED945A3F49219B53F22C692E0DD25A</vt:lpwstr>
  </property>
</Properties>
</file>